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 w:after="40"/>
      </w:pPr>
    </w:p>
    <w:p>
      <w:pPr>
        <w:spacing w:before="40" w:after="40"/>
      </w:pPr>
    </w:p>
    <w:p>
      <w:pPr>
        <w:spacing w:after="80"/>
        <w:jc w:val="center"/>
      </w:pPr>
      <w:r>
        <w:rPr>
          <w:rFonts w:ascii="Arial" w:cs="Arial" w:eastAsia="Arial" w:hAnsi="Arial"/>
          <w:b/>
          <w:bCs/>
          <w:color w:val="1B3A5C"/>
          <w:sz w:val="32"/>
          <w:szCs w:val="32"/>
        </w:rPr>
        <w:t xml:space="preserve">REMOTE HOME CHECK, LLC</w:t>
      </w:r>
    </w:p>
    <w:p>
      <w:pPr>
        <w:spacing w:after="40"/>
        <w:jc w:val="center"/>
      </w:pPr>
      <w:r>
        <w:rPr>
          <w:rFonts w:ascii="Arial" w:cs="Arial" w:eastAsia="Arial" w:hAnsi="Arial"/>
          <w:b/>
          <w:bCs/>
          <w:color w:val="2E75B6"/>
          <w:sz w:val="28"/>
          <w:szCs w:val="28"/>
        </w:rPr>
        <w:t xml:space="preserve">Product Documentation</w:t>
      </w:r>
    </w:p>
    <w:p>
      <w:pPr>
        <w:spacing w:after="40"/>
        <w:jc w:val="center"/>
      </w:pPr>
      <w:r>
        <w:rPr>
          <w:rFonts w:ascii="Arial" w:cs="Arial" w:eastAsia="Arial" w:hAnsi="Arial"/>
          <w:color w:val="666666"/>
          <w:sz w:val="20"/>
          <w:szCs w:val="20"/>
        </w:rPr>
        <w:t xml:space="preserve">Scoring Methodology, Health Domains &amp; Feature Reference</w:t>
      </w:r>
    </w:p>
    <w:p>
      <w:pPr>
        <w:jc w:val="center"/>
      </w:pPr>
      <w:r>
        <w:rPr>
          <w:rFonts w:ascii="Arial" w:cs="Arial" w:eastAsia="Arial" w:hAnsi="Arial"/>
          <w:color w:val="666666"/>
          <w:sz w:val="20"/>
          <w:szCs w:val="20"/>
        </w:rPr>
        <w:t xml:space="preserve">Version 1.1 — March 1, 2026</w:t>
      </w:r>
    </w:p>
    <w:p>
      <w:pPr>
        <w:pBdr>
          <w:bottom w:val="single" w:color="2E75B6" w:sz="2" w:space="4"/>
        </w:pBdr>
        <w:spacing w:before="200" w:after="200"/>
      </w:pPr>
    </w:p>
    <w:p>
      <w:pPr>
        <w:spacing w:before="80" w:after="80"/>
        <w:jc w:val="left"/>
      </w:pPr>
      <w:r>
        <w:rPr>
          <w:rFonts w:ascii="Arial" w:cs="Arial" w:eastAsia="Arial" w:hAnsi="Arial"/>
          <w:b w:val="false"/>
          <w:bCs w:val="false"/>
          <w:i/>
          <w:iCs/>
          <w:color w:val="333333"/>
          <w:sz w:val="20"/>
          <w:szCs w:val="20"/>
        </w:rPr>
        <w:t xml:space="preserve">This document describes the health domains, scoring methodology, features, and alert systems of the Remote Home Check platform. Per Section 0.1 of the Master Terms, this Product Documentation is informational and operational. It may be updated without amending the Terms &amp; Conditions and cannot expand guarantees or obligations beyond the executed terms.</w:t>
      </w:r>
    </w:p>
    <w:p>
      <w:pPr>
        <w:spacing w:before="200" w:after="120"/>
      </w:pPr>
      <w:r>
        <w:rPr>
          <w:rFonts w:ascii="Arial" w:cs="Arial" w:eastAsia="Arial" w:hAnsi="Arial"/>
          <w:b/>
          <w:bCs/>
          <w:color w:val="CC0000"/>
          <w:sz w:val="20"/>
          <w:szCs w:val="20"/>
        </w:rPr>
        <w:t xml:space="preserve">Feature Activation Status: </w:t>
      </w:r>
      <w:r>
        <w:rPr>
          <w:rFonts w:ascii="Arial" w:cs="Arial" w:eastAsia="Arial" w:hAnsi="Arial"/>
          <w:color w:val="333333"/>
          <w:sz w:val="20"/>
          <w:szCs w:val="20"/>
        </w:rPr>
        <w:t xml:space="preserve">Features described in this document are deployed through a staged activation model (see Master Terms Section 3.3). Features marked [Ring 1] are available at launch. Features marked [Ring 2] are planned for future release. Features dependent on specific device integrations (e.g., Apple Watch) become active only when that integration is deployed. The absence of a ring label indicates a Ring 1 feature.</w:t>
      </w:r>
    </w:p>
    <w:p>
      <w:r>
        <w:br w:type="page"/>
      </w:r>
    </w:p>
    <w:p>
      <w:pPr>
        <w:pStyle w:val="Heading1"/>
        <w:spacing w:before="360" w:after="200"/>
      </w:pPr>
      <w:r>
        <w:rPr>
          <w:rFonts w:ascii="Arial" w:cs="Arial" w:eastAsia="Arial" w:hAnsi="Arial"/>
          <w:b/>
          <w:bCs/>
          <w:color w:val="1B3A5C"/>
          <w:sz w:val="28"/>
          <w:szCs w:val="28"/>
        </w:rPr>
        <w:t xml:space="preserve">1. SCORE HIERARCHY</w:t>
      </w:r>
    </w:p>
    <w:p>
      <w:pPr>
        <w:spacing w:before="80" w:after="80"/>
        <w:jc w:val="left"/>
      </w:pPr>
      <w:r>
        <w:rPr>
          <w:rFonts w:ascii="Arial" w:cs="Arial" w:eastAsia="Arial" w:hAnsi="Arial"/>
          <w:b w:val="false"/>
          <w:bCs w:val="false"/>
          <w:i w:val="false"/>
          <w:iCs w:val="false"/>
          <w:color w:val="333333"/>
          <w:sz w:val="20"/>
          <w:szCs w:val="20"/>
        </w:rPr>
        <w:t xml:space="preserve">The Remote Home Check platform generates a composite wellness assessment organized in a three-level hierarchy:</w:t>
      </w:r>
    </w:p>
    <w:p>
      <w:pPr>
        <w:pStyle w:val="Heading2"/>
        <w:spacing w:before="280" w:after="160"/>
      </w:pPr>
      <w:r>
        <w:rPr>
          <w:rFonts w:ascii="Arial" w:cs="Arial" w:eastAsia="Arial" w:hAnsi="Arial"/>
          <w:b/>
          <w:bCs/>
          <w:color w:val="1B3A5C"/>
          <w:sz w:val="24"/>
          <w:szCs w:val="24"/>
        </w:rPr>
        <w:t xml:space="preserve">1.1 Overall Insight Score</w:t>
      </w:r>
    </w:p>
    <w:p>
      <w:pPr>
        <w:spacing w:before="80" w:after="80"/>
        <w:jc w:val="left"/>
      </w:pPr>
      <w:r>
        <w:rPr>
          <w:rFonts w:ascii="Arial" w:cs="Arial" w:eastAsia="Arial" w:hAnsi="Arial"/>
          <w:b w:val="false"/>
          <w:bCs w:val="false"/>
          <w:i w:val="false"/>
          <w:iCs w:val="false"/>
          <w:color w:val="333333"/>
          <w:sz w:val="20"/>
          <w:szCs w:val="20"/>
        </w:rPr>
        <w:t xml:space="preserve">The top-level score that consolidates all physical and mental health data into a single composite indicator. The Insight Score drives actionable Observations for family members and caregivers, such as: time to consider bringing in a caregiver, time to discuss driving safety, or time to explore senior community options.</w:t>
      </w:r>
    </w:p>
    <w:p>
      <w:pPr>
        <w:spacing w:before="80" w:after="80"/>
      </w:pPr>
      <w:r>
        <w:rPr>
          <w:rFonts w:ascii="Arial" w:cs="Arial" w:eastAsia="Arial" w:hAnsi="Arial"/>
          <w:b/>
          <w:bCs/>
          <w:color w:val="333333"/>
          <w:sz w:val="20"/>
          <w:szCs w:val="20"/>
        </w:rPr>
        <w:t xml:space="preserve">Score Range: </w:t>
      </w:r>
      <w:r>
        <w:rPr>
          <w:rFonts w:ascii="Arial" w:cs="Arial" w:eastAsia="Arial" w:hAnsi="Arial"/>
          <w:color w:val="333333"/>
          <w:sz w:val="20"/>
          <w:szCs w:val="20"/>
        </w:rPr>
        <w:t xml:space="preserve">0–100 (higher = better overall wellness)</w:t>
      </w:r>
    </w:p>
    <w:p>
      <w:pPr>
        <w:pStyle w:val="Heading2"/>
        <w:spacing w:before="280" w:after="160"/>
      </w:pPr>
      <w:r>
        <w:rPr>
          <w:rFonts w:ascii="Arial" w:cs="Arial" w:eastAsia="Arial" w:hAnsi="Arial"/>
          <w:b/>
          <w:bCs/>
          <w:color w:val="1B3A5C"/>
          <w:sz w:val="24"/>
          <w:szCs w:val="24"/>
        </w:rPr>
        <w:t xml:space="preserve">1.2 Physical Health Score</w:t>
      </w:r>
    </w:p>
    <w:p>
      <w:pPr>
        <w:spacing w:before="80" w:after="80"/>
        <w:jc w:val="left"/>
      </w:pPr>
      <w:r>
        <w:rPr>
          <w:rFonts w:ascii="Arial" w:cs="Arial" w:eastAsia="Arial" w:hAnsi="Arial"/>
          <w:b w:val="false"/>
          <w:bCs w:val="false"/>
          <w:i w:val="false"/>
          <w:iCs w:val="false"/>
          <w:color w:val="333333"/>
          <w:sz w:val="20"/>
          <w:szCs w:val="20"/>
        </w:rPr>
        <w:t xml:space="preserve">A weighted composite of all physical health domain assessments and sensor data.</w:t>
      </w:r>
    </w:p>
    <w:p>
      <w:pPr>
        <w:spacing w:before="80" w:after="80"/>
      </w:pPr>
      <w:r>
        <w:rPr>
          <w:rFonts w:ascii="Arial" w:cs="Arial" w:eastAsia="Arial" w:hAnsi="Arial"/>
          <w:b/>
          <w:bCs/>
          <w:color w:val="333333"/>
          <w:sz w:val="20"/>
          <w:szCs w:val="20"/>
        </w:rPr>
        <w:t xml:space="preserve">Feeds into: </w:t>
      </w:r>
      <w:r>
        <w:rPr>
          <w:rFonts w:ascii="Arial" w:cs="Arial" w:eastAsia="Arial" w:hAnsi="Arial"/>
          <w:color w:val="333333"/>
          <w:sz w:val="20"/>
          <w:szCs w:val="20"/>
        </w:rPr>
        <w:t xml:space="preserve">Overall Insight Score</w:t>
      </w:r>
    </w:p>
    <w:p>
      <w:pPr>
        <w:pStyle w:val="Heading2"/>
        <w:spacing w:before="280" w:after="160"/>
      </w:pPr>
      <w:r>
        <w:rPr>
          <w:rFonts w:ascii="Arial" w:cs="Arial" w:eastAsia="Arial" w:hAnsi="Arial"/>
          <w:b/>
          <w:bCs/>
          <w:color w:val="1B3A5C"/>
          <w:sz w:val="24"/>
          <w:szCs w:val="24"/>
        </w:rPr>
        <w:t xml:space="preserve">1.3 Mental Health Score</w:t>
      </w:r>
    </w:p>
    <w:p>
      <w:pPr>
        <w:spacing w:before="80" w:after="80"/>
        <w:jc w:val="left"/>
      </w:pPr>
      <w:r>
        <w:rPr>
          <w:rFonts w:ascii="Arial" w:cs="Arial" w:eastAsia="Arial" w:hAnsi="Arial"/>
          <w:b w:val="false"/>
          <w:bCs w:val="false"/>
          <w:i w:val="false"/>
          <w:iCs w:val="false"/>
          <w:color w:val="333333"/>
          <w:sz w:val="20"/>
          <w:szCs w:val="20"/>
        </w:rPr>
        <w:t xml:space="preserve">A weighted composite of all mental health domain assessments and sensor data.</w:t>
      </w:r>
    </w:p>
    <w:p>
      <w:pPr>
        <w:spacing w:before="80" w:after="80"/>
      </w:pPr>
      <w:r>
        <w:rPr>
          <w:rFonts w:ascii="Arial" w:cs="Arial" w:eastAsia="Arial" w:hAnsi="Arial"/>
          <w:b/>
          <w:bCs/>
          <w:color w:val="333333"/>
          <w:sz w:val="20"/>
          <w:szCs w:val="20"/>
        </w:rPr>
        <w:t xml:space="preserve">Feeds into: </w:t>
      </w:r>
      <w:r>
        <w:rPr>
          <w:rFonts w:ascii="Arial" w:cs="Arial" w:eastAsia="Arial" w:hAnsi="Arial"/>
          <w:color w:val="333333"/>
          <w:sz w:val="20"/>
          <w:szCs w:val="20"/>
        </w:rPr>
        <w:t xml:space="preserve">Overall Insight Score</w:t>
      </w:r>
    </w:p>
    <w:p>
      <w:r>
        <w:br w:type="page"/>
      </w:r>
    </w:p>
    <w:p>
      <w:pPr>
        <w:pStyle w:val="Heading1"/>
        <w:spacing w:before="360" w:after="200"/>
      </w:pPr>
      <w:r>
        <w:rPr>
          <w:rFonts w:ascii="Arial" w:cs="Arial" w:eastAsia="Arial" w:hAnsi="Arial"/>
          <w:b/>
          <w:bCs/>
          <w:color w:val="1B3A5C"/>
          <w:sz w:val="28"/>
          <w:szCs w:val="28"/>
        </w:rPr>
        <w:t xml:space="preserve">2. PHYSICAL HEALTH DOMAINS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280"/>
        <w:gridCol w:w="3280"/>
      </w:tblGrid>
      <w:tr>
        <w:tc>
          <w:tcPr>
            <w:tcW w:type="dxa" w:w="280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b/>
                <w:bCs/>
                <w:color w:val="333333"/>
                <w:sz w:val="18"/>
                <w:szCs w:val="18"/>
              </w:rPr>
              <w:t xml:space="preserve">Domain</w:t>
            </w:r>
          </w:p>
        </w:tc>
        <w:tc>
          <w:tcPr>
            <w:tcW w:type="dxa" w:w="328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b/>
                <w:bCs/>
                <w:color w:val="333333"/>
                <w:sz w:val="18"/>
                <w:szCs w:val="18"/>
              </w:rPr>
              <w:t xml:space="preserve">Data Source</w:t>
            </w:r>
          </w:p>
        </w:tc>
        <w:tc>
          <w:tcPr>
            <w:tcW w:type="dxa" w:w="328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b/>
                <w:bCs/>
                <w:color w:val="333333"/>
                <w:sz w:val="18"/>
                <w:szCs w:val="18"/>
              </w:rPr>
              <w:t xml:space="preserve">Input Method</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Falls</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Apple Watch</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Passive (automatic fall detection, impact data)</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Wandering</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Apple Watch GPS</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Passive (movement pattern analysis, geofencing)</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Cardiac Events</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Apple Watch</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Passive (heart rate, HRV, AFib detection)</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Restroom Usage</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YoLink flush + motion sensors</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Passive (flush frequency, timing, occupancy)</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ADLs</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Caregiver assessment</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Manual (Katz Scale, 6 items, 0–100 each)</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IADLs</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Caregiver assessment</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Manual (Lawton Scale, 8 items, 0–100 each)</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Driving</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Family1st OBD-II</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Passive (speed, braking, trips, routes)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Balance</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In-app assessment</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Timed test (one-foot stand, 3 trials)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Body Metrics</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Smart scale</w:t>
            </w:r>
          </w:p>
        </w:tc>
        <w:tc>
          <w:tcPr>
            <w:tcW w:type="dxa" w:w="3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Passive (weight, BMI, body composition)</w:t>
            </w:r>
          </w:p>
        </w:tc>
      </w:tr>
    </w:tbl>
    <w:p>
      <w:pPr>
        <w:pStyle w:val="Heading2"/>
        <w:spacing w:before="280" w:after="160"/>
      </w:pPr>
      <w:r>
        <w:rPr>
          <w:rFonts w:ascii="Arial" w:cs="Arial" w:eastAsia="Arial" w:hAnsi="Arial"/>
          <w:b/>
          <w:bCs/>
          <w:color w:val="1B3A5C"/>
          <w:sz w:val="24"/>
          <w:szCs w:val="24"/>
        </w:rPr>
        <w:t xml:space="preserve">2.1 ADL Assessment Details</w:t>
      </w:r>
    </w:p>
    <w:p>
      <w:pPr>
        <w:spacing w:before="80" w:after="80"/>
        <w:jc w:val="left"/>
      </w:pPr>
      <w:r>
        <w:rPr>
          <w:rFonts w:ascii="Arial" w:cs="Arial" w:eastAsia="Arial" w:hAnsi="Arial"/>
          <w:b w:val="false"/>
          <w:bCs w:val="false"/>
          <w:i w:val="false"/>
          <w:iCs w:val="false"/>
          <w:color w:val="333333"/>
          <w:sz w:val="20"/>
          <w:szCs w:val="20"/>
        </w:rPr>
        <w:t xml:space="preserve">Activities of Daily Living are assessed using the Katz Scale with six items: Bathing/Showering, Dressing, Eating, Toileting, Transferring, and Continence. Each item is scored 0–100 by a caregiver or assessment assistant:</w:t>
      </w:r>
    </w:p>
    <w:p>
      <w:pPr>
        <w:pStyle w:val="ListParagraph"/>
        <w:numPr>
          <w:ilvl w:val="0"/>
          <w:numId w:val="2"/>
        </w:numPr>
        <w:spacing w:before="40" w:after="40"/>
      </w:pPr>
      <w:r>
        <w:rPr>
          <w:rFonts w:ascii="Arial" w:cs="Arial" w:eastAsia="Arial" w:hAnsi="Arial"/>
          <w:b w:val="false"/>
          <w:bCs w:val="false"/>
          <w:color w:val="333333"/>
          <w:sz w:val="20"/>
          <w:szCs w:val="20"/>
        </w:rPr>
        <w:t xml:space="preserve">0 = Fully Independent</w:t>
      </w:r>
    </w:p>
    <w:p>
      <w:pPr>
        <w:pStyle w:val="ListParagraph"/>
        <w:numPr>
          <w:ilvl w:val="0"/>
          <w:numId w:val="2"/>
        </w:numPr>
        <w:spacing w:before="40" w:after="40"/>
      </w:pPr>
      <w:r>
        <w:rPr>
          <w:rFonts w:ascii="Arial" w:cs="Arial" w:eastAsia="Arial" w:hAnsi="Arial"/>
          <w:b w:val="false"/>
          <w:bCs w:val="false"/>
          <w:color w:val="333333"/>
          <w:sz w:val="20"/>
          <w:szCs w:val="20"/>
        </w:rPr>
        <w:t xml:space="preserve">25 = Mostly Independent</w:t>
      </w:r>
    </w:p>
    <w:p>
      <w:pPr>
        <w:pStyle w:val="ListParagraph"/>
        <w:numPr>
          <w:ilvl w:val="0"/>
          <w:numId w:val="2"/>
        </w:numPr>
        <w:spacing w:before="40" w:after="40"/>
      </w:pPr>
      <w:r>
        <w:rPr>
          <w:rFonts w:ascii="Arial" w:cs="Arial" w:eastAsia="Arial" w:hAnsi="Arial"/>
          <w:b w:val="false"/>
          <w:bCs w:val="false"/>
          <w:color w:val="333333"/>
          <w:sz w:val="20"/>
          <w:szCs w:val="20"/>
        </w:rPr>
        <w:t xml:space="preserve">50 = Needs Some Assistance</w:t>
      </w:r>
    </w:p>
    <w:p>
      <w:pPr>
        <w:pStyle w:val="ListParagraph"/>
        <w:numPr>
          <w:ilvl w:val="0"/>
          <w:numId w:val="2"/>
        </w:numPr>
        <w:spacing w:before="40" w:after="40"/>
      </w:pPr>
      <w:r>
        <w:rPr>
          <w:rFonts w:ascii="Arial" w:cs="Arial" w:eastAsia="Arial" w:hAnsi="Arial"/>
          <w:b w:val="false"/>
          <w:bCs w:val="false"/>
          <w:color w:val="333333"/>
          <w:sz w:val="20"/>
          <w:szCs w:val="20"/>
        </w:rPr>
        <w:t xml:space="preserve">75 = Needs Much Assistance</w:t>
      </w:r>
    </w:p>
    <w:p>
      <w:pPr>
        <w:pStyle w:val="ListParagraph"/>
        <w:numPr>
          <w:ilvl w:val="0"/>
          <w:numId w:val="2"/>
        </w:numPr>
        <w:spacing w:before="40" w:after="40"/>
      </w:pPr>
      <w:r>
        <w:rPr>
          <w:rFonts w:ascii="Arial" w:cs="Arial" w:eastAsia="Arial" w:hAnsi="Arial"/>
          <w:b w:val="false"/>
          <w:bCs w:val="false"/>
          <w:color w:val="333333"/>
          <w:sz w:val="20"/>
          <w:szCs w:val="20"/>
        </w:rPr>
        <w:t xml:space="preserve">100 = Fully Assisted</w:t>
      </w:r>
    </w:p>
    <w:p>
      <w:pPr>
        <w:spacing w:before="80" w:after="80"/>
        <w:jc w:val="left"/>
      </w:pPr>
      <w:r>
        <w:rPr>
          <w:rFonts w:ascii="Arial" w:cs="Arial" w:eastAsia="Arial" w:hAnsi="Arial"/>
          <w:b w:val="false"/>
          <w:bCs w:val="false"/>
          <w:i w:val="false"/>
          <w:iCs w:val="false"/>
          <w:color w:val="333333"/>
          <w:sz w:val="20"/>
          <w:szCs w:val="20"/>
        </w:rPr>
        <w:t xml:space="preserve">Suggested cadence: bi-weekly minimum.</w:t>
      </w:r>
    </w:p>
    <w:p>
      <w:pPr>
        <w:pStyle w:val="Heading2"/>
        <w:spacing w:before="280" w:after="160"/>
      </w:pPr>
      <w:r>
        <w:rPr>
          <w:rFonts w:ascii="Arial" w:cs="Arial" w:eastAsia="Arial" w:hAnsi="Arial"/>
          <w:b/>
          <w:bCs/>
          <w:color w:val="1B3A5C"/>
          <w:sz w:val="24"/>
          <w:szCs w:val="24"/>
        </w:rPr>
        <w:t xml:space="preserve">2.2 IADL Assessment Details</w:t>
      </w:r>
    </w:p>
    <w:p>
      <w:pPr>
        <w:spacing w:before="80" w:after="80"/>
        <w:jc w:val="left"/>
      </w:pPr>
      <w:r>
        <w:rPr>
          <w:rFonts w:ascii="Arial" w:cs="Arial" w:eastAsia="Arial" w:hAnsi="Arial"/>
          <w:b w:val="false"/>
          <w:bCs w:val="false"/>
          <w:i w:val="false"/>
          <w:iCs w:val="false"/>
          <w:color w:val="333333"/>
          <w:sz w:val="20"/>
          <w:szCs w:val="20"/>
        </w:rPr>
        <w:t xml:space="preserve">Instrumental Activities of Daily Living are assessed using the Lawton Scale with eight items: Telephone Use, Shopping, Food Preparation, Housekeeping, Laundry, Transportation, Medication Management, and Finances. Same 0–100 scoring scale.</w:t>
      </w:r>
    </w:p>
    <w:p>
      <w:pPr>
        <w:pStyle w:val="Heading2"/>
        <w:spacing w:before="280" w:after="160"/>
      </w:pPr>
      <w:r>
        <w:rPr>
          <w:rFonts w:ascii="Arial" w:cs="Arial" w:eastAsia="Arial" w:hAnsi="Arial"/>
          <w:b/>
          <w:bCs/>
          <w:color w:val="1B3A5C"/>
          <w:sz w:val="24"/>
          <w:szCs w:val="24"/>
        </w:rPr>
        <w:t xml:space="preserve">2.3 Balance Assessment Details</w:t>
      </w:r>
    </w:p>
    <w:p>
      <w:pPr>
        <w:spacing w:before="80" w:after="80"/>
        <w:jc w:val="left"/>
      </w:pPr>
      <w:r>
        <w:rPr>
          <w:rFonts w:ascii="Arial" w:cs="Arial" w:eastAsia="Arial" w:hAnsi="Arial"/>
          <w:b w:val="false"/>
          <w:bCs w:val="false"/>
          <w:i w:val="false"/>
          <w:iCs w:val="false"/>
          <w:color w:val="333333"/>
          <w:sz w:val="20"/>
          <w:szCs w:val="20"/>
        </w:rPr>
        <w:t xml:space="preserve">The balance assessment is a timed one-foot stand test. The caregiver or assessment assistant instructs the monitored individual to stand on one foot. The caregiver starts a timer when the foot is raised and stops it when the foot returns to the ground. This process is repeated three (3) times. The platform averages the three trial durations to calculate the balance score.</w:t>
      </w:r>
    </w:p>
    <w:p>
      <w:pPr>
        <w:pStyle w:val="Heading2"/>
        <w:spacing w:before="280" w:after="160"/>
      </w:pPr>
      <w:r>
        <w:rPr>
          <w:rFonts w:ascii="Arial" w:cs="Arial" w:eastAsia="Arial" w:hAnsi="Arial"/>
          <w:b/>
          <w:bCs/>
          <w:color w:val="1B3A5C"/>
          <w:sz w:val="24"/>
          <w:szCs w:val="24"/>
        </w:rPr>
        <w:t xml:space="preserve">2.4 Restroom Usage / UTI Early Warning</w:t>
      </w:r>
    </w:p>
    <w:p>
      <w:pPr>
        <w:spacing w:before="80" w:after="80"/>
        <w:jc w:val="left"/>
      </w:pPr>
      <w:r>
        <w:rPr>
          <w:rFonts w:ascii="Arial" w:cs="Arial" w:eastAsia="Arial" w:hAnsi="Arial"/>
          <w:b w:val="false"/>
          <w:bCs w:val="false"/>
          <w:i w:val="false"/>
          <w:iCs w:val="false"/>
          <w:color w:val="333333"/>
          <w:sz w:val="20"/>
          <w:szCs w:val="20"/>
        </w:rPr>
        <w:t xml:space="preserve">The YoLink flush sensor and bathroom motion sensor work together to establish a baseline pattern of bathroom usage. Deviations from baseline (increased frequency, unusual timing, extended occupancy) generate Observations that may indicate urinary tract infection or other health changes. This is a screening signal, not a diagnosis.</w:t>
      </w:r>
    </w:p>
    <w:p>
      <w:pPr>
        <w:pStyle w:val="Heading2"/>
        <w:spacing w:before="280" w:after="160"/>
      </w:pPr>
      <w:r>
        <w:rPr>
          <w:rFonts w:ascii="Arial" w:cs="Arial" w:eastAsia="Arial" w:hAnsi="Arial"/>
          <w:b/>
          <w:bCs/>
          <w:color w:val="1B3A5C"/>
          <w:sz w:val="24"/>
          <w:szCs w:val="24"/>
        </w:rPr>
        <w:t xml:space="preserve">2.5 Driving Risk Assessment</w:t>
      </w:r>
    </w:p>
    <w:p>
      <w:pPr>
        <w:spacing w:before="80" w:after="80"/>
        <w:jc w:val="left"/>
      </w:pPr>
      <w:r>
        <w:rPr>
          <w:rFonts w:ascii="Arial" w:cs="Arial" w:eastAsia="Arial" w:hAnsi="Arial"/>
          <w:b w:val="false"/>
          <w:bCs w:val="false"/>
          <w:i w:val="false"/>
          <w:iCs w:val="false"/>
          <w:color w:val="333333"/>
          <w:sz w:val="20"/>
          <w:szCs w:val="20"/>
        </w:rPr>
        <w:t xml:space="preserve">The Family1st OBD-II monitor (B2C only) collects driving behavior data including speed patterns, hard braking events, rapid acceleration, trip frequency, and route consistency. The platform generates a driving risk score that can inform family conversations about driving safety. This is a decision-support signal only and does not constitute medical advice, a clinical directive, or an instruction to restrict driving.</w:t>
      </w:r>
    </w:p>
    <w:p>
      <w:r>
        <w:br w:type="page"/>
      </w:r>
    </w:p>
    <w:p>
      <w:pPr>
        <w:pStyle w:val="Heading1"/>
        <w:spacing w:before="360" w:after="200"/>
      </w:pPr>
      <w:r>
        <w:rPr>
          <w:rFonts w:ascii="Arial" w:cs="Arial" w:eastAsia="Arial" w:hAnsi="Arial"/>
          <w:b/>
          <w:bCs/>
          <w:color w:val="1B3A5C"/>
          <w:sz w:val="28"/>
          <w:szCs w:val="28"/>
        </w:rPr>
        <w:t xml:space="preserve">3. MENTAL HEALTH DOMAINS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b/>
                <w:bCs/>
                <w:color w:val="333333"/>
                <w:sz w:val="18"/>
                <w:szCs w:val="18"/>
              </w:rPr>
              <w:t xml:space="preserve">Domain</w:t>
            </w:r>
          </w:p>
        </w:tc>
        <w:tc>
          <w:tcPr>
            <w:tcW w:type="dxa" w:w="312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b/>
                <w:bCs/>
                <w:color w:val="333333"/>
                <w:sz w:val="18"/>
                <w:szCs w:val="18"/>
              </w:rPr>
              <w:t xml:space="preserve">Data Source</w:t>
            </w:r>
          </w:p>
        </w:tc>
        <w:tc>
          <w:tcPr>
            <w:tcW w:type="dxa" w:w="312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b/>
                <w:bCs/>
                <w:color w:val="333333"/>
                <w:sz w:val="18"/>
                <w:szCs w:val="18"/>
              </w:rPr>
              <w:t xml:space="preserve">Input Method</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Memory</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In-app assessment</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Quiz/task-based (bi-weekly)</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Cognition</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In-app assessment</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Timed identification challenge (bi-weekly)</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Loneliness / Depression</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Alexa voice prompts</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Passive (conversation patterns, engagement)</w:t>
            </w:r>
          </w:p>
        </w:tc>
      </w:tr>
    </w:tbl>
    <w:p>
      <w:pPr>
        <w:pStyle w:val="Heading2"/>
        <w:spacing w:before="280" w:after="160"/>
      </w:pPr>
      <w:r>
        <w:rPr>
          <w:rFonts w:ascii="Arial" w:cs="Arial" w:eastAsia="Arial" w:hAnsi="Arial"/>
          <w:b/>
          <w:bCs/>
          <w:color w:val="1B3A5C"/>
          <w:sz w:val="24"/>
          <w:szCs w:val="24"/>
        </w:rPr>
        <w:t xml:space="preserve">3.1 Memory Assessment</w:t>
      </w:r>
    </w:p>
    <w:p>
      <w:pPr>
        <w:spacing w:before="80" w:after="80"/>
        <w:jc w:val="left"/>
      </w:pPr>
      <w:r>
        <w:rPr>
          <w:rFonts w:ascii="Arial" w:cs="Arial" w:eastAsia="Arial" w:hAnsi="Arial"/>
          <w:b w:val="false"/>
          <w:bCs w:val="false"/>
          <w:i w:val="false"/>
          <w:iCs w:val="false"/>
          <w:color w:val="333333"/>
          <w:sz w:val="20"/>
          <w:szCs w:val="20"/>
        </w:rPr>
        <w:t xml:space="preserve">Memory is assessed through in-app quiz and task-based exercises. Score range: 0–100 (higher = better). Suggested cadence: bi-weekly. Changes of ±5% are considered normal variation. Gradual decline warrants monitoring. Sudden drops of greater than 15% may indicate illness, medication issues, or sleep problems.</w:t>
      </w:r>
    </w:p>
    <w:p>
      <w:pPr>
        <w:pStyle w:val="Heading2"/>
        <w:spacing w:before="280" w:after="160"/>
      </w:pPr>
      <w:r>
        <w:rPr>
          <w:rFonts w:ascii="Arial" w:cs="Arial" w:eastAsia="Arial" w:hAnsi="Arial"/>
          <w:b/>
          <w:bCs/>
          <w:color w:val="1B3A5C"/>
          <w:sz w:val="24"/>
          <w:szCs w:val="24"/>
        </w:rPr>
        <w:t xml:space="preserve">3.2 Cognition Assessment</w:t>
      </w:r>
    </w:p>
    <w:p>
      <w:pPr>
        <w:spacing w:before="80" w:after="80"/>
        <w:jc w:val="left"/>
      </w:pPr>
      <w:r>
        <w:rPr>
          <w:rFonts w:ascii="Arial" w:cs="Arial" w:eastAsia="Arial" w:hAnsi="Arial"/>
          <w:b w:val="false"/>
          <w:bCs w:val="false"/>
          <w:i w:val="false"/>
          <w:iCs w:val="false"/>
          <w:color w:val="333333"/>
          <w:sz w:val="20"/>
          <w:szCs w:val="20"/>
        </w:rPr>
        <w:t xml:space="preserve">Cognition is assessed through timed identification challenges measuring processing speed, decision-making, and executive function. Score range: 0–100 (higher = better). Performance can be affected by sleep quality, time of day, medications, and overall hydration.</w:t>
      </w:r>
    </w:p>
    <w:p>
      <w:pPr>
        <w:pStyle w:val="Heading2"/>
        <w:spacing w:before="280" w:after="160"/>
      </w:pPr>
      <w:r>
        <w:rPr>
          <w:rFonts w:ascii="Arial" w:cs="Arial" w:eastAsia="Arial" w:hAnsi="Arial"/>
          <w:b/>
          <w:bCs/>
          <w:color w:val="1B3A5C"/>
          <w:sz w:val="24"/>
          <w:szCs w:val="24"/>
        </w:rPr>
        <w:t xml:space="preserve">3.3 Loneliness / Depression Screening</w:t>
      </w:r>
    </w:p>
    <w:p>
      <w:pPr>
        <w:spacing w:before="80" w:after="80"/>
        <w:jc w:val="left"/>
      </w:pPr>
      <w:r>
        <w:rPr>
          <w:rFonts w:ascii="Arial" w:cs="Arial" w:eastAsia="Arial" w:hAnsi="Arial"/>
          <w:b w:val="false"/>
          <w:bCs w:val="false"/>
          <w:i w:val="false"/>
          <w:iCs w:val="false"/>
          <w:color w:val="333333"/>
          <w:sz w:val="20"/>
          <w:szCs w:val="20"/>
        </w:rPr>
        <w:t xml:space="preserve">Emotional wellbeing indicators are derived passively from Alexa voice prompt interactions. The platform analyzes conversation frequency, engagement levels, and linguistic patterns. Actual conversation content is never stored. Score range: 0–100 (higher = better mood indicators). This is a screening tool, not a clinical diagnosis. Low scores warrant a supportive conversation, not alarm.</w:t>
      </w:r>
    </w:p>
    <w:p>
      <w:r>
        <w:br w:type="page"/>
      </w:r>
    </w:p>
    <w:p>
      <w:pPr>
        <w:pStyle w:val="Heading1"/>
        <w:spacing w:before="360" w:after="200"/>
      </w:pPr>
      <w:r>
        <w:rPr>
          <w:rFonts w:ascii="Arial" w:cs="Arial" w:eastAsia="Arial" w:hAnsi="Arial"/>
          <w:b/>
          <w:bCs/>
          <w:color w:val="1B3A5C"/>
          <w:sz w:val="28"/>
          <w:szCs w:val="28"/>
        </w:rPr>
        <w:t xml:space="preserve">4. STANDARD SENSOR CONFIGURATION</w:t>
      </w:r>
    </w:p>
    <w:p>
      <w:pPr>
        <w:pStyle w:val="Heading2"/>
        <w:spacing w:before="280" w:after="160"/>
      </w:pPr>
      <w:r>
        <w:rPr>
          <w:rFonts w:ascii="Arial" w:cs="Arial" w:eastAsia="Arial" w:hAnsi="Arial"/>
          <w:b/>
          <w:bCs/>
          <w:color w:val="1B3A5C"/>
          <w:sz w:val="24"/>
          <w:szCs w:val="24"/>
        </w:rPr>
        <w:t xml:space="preserve">4.1 B2C Bundle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2280"/>
        <w:gridCol w:w="2280"/>
      </w:tblGrid>
      <w:tr>
        <w:tc>
          <w:tcPr>
            <w:tcW w:type="dxa" w:w="240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b/>
                <w:bCs/>
                <w:color w:val="333333"/>
                <w:sz w:val="18"/>
                <w:szCs w:val="18"/>
              </w:rPr>
              <w:t xml:space="preserve">Device</w:t>
            </w:r>
          </w:p>
        </w:tc>
        <w:tc>
          <w:tcPr>
            <w:tcW w:type="dxa" w:w="240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b/>
                <w:bCs/>
                <w:color w:val="333333"/>
                <w:sz w:val="18"/>
                <w:szCs w:val="18"/>
              </w:rPr>
              <w:t xml:space="preserve">Location</w:t>
            </w:r>
          </w:p>
        </w:tc>
        <w:tc>
          <w:tcPr>
            <w:tcW w:type="dxa" w:w="228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b/>
                <w:bCs/>
                <w:color w:val="333333"/>
                <w:sz w:val="18"/>
                <w:szCs w:val="18"/>
              </w:rPr>
              <w:t xml:space="preserve">Data Collected</w:t>
            </w:r>
          </w:p>
        </w:tc>
        <w:tc>
          <w:tcPr>
            <w:tcW w:type="dxa" w:w="228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b/>
                <w:bCs/>
                <w:color w:val="333333"/>
                <w:sz w:val="18"/>
                <w:szCs w:val="18"/>
              </w:rPr>
              <w:t xml:space="preserve">Connectivity</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Apple Watch</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Worn on wrist</w:t>
            </w:r>
          </w:p>
        </w:tc>
        <w:tc>
          <w:tcPr>
            <w:tcW w:type="dxa" w:w="2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Health, falls, location</w:t>
            </w:r>
          </w:p>
        </w:tc>
        <w:tc>
          <w:tcPr>
            <w:tcW w:type="dxa" w:w="2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Bluetooth/Wi-Fi/LTE</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YoLink Flush Sensor</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Bathroom (toilet)</w:t>
            </w:r>
          </w:p>
        </w:tc>
        <w:tc>
          <w:tcPr>
            <w:tcW w:type="dxa" w:w="2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Flush events, timing</w:t>
            </w:r>
          </w:p>
        </w:tc>
        <w:tc>
          <w:tcPr>
            <w:tcW w:type="dxa" w:w="2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LoRa to Hub</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YoLink Motion Sensor</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Bathroom</w:t>
            </w:r>
          </w:p>
        </w:tc>
        <w:tc>
          <w:tcPr>
            <w:tcW w:type="dxa" w:w="2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Occupancy, motion</w:t>
            </w:r>
          </w:p>
        </w:tc>
        <w:tc>
          <w:tcPr>
            <w:tcW w:type="dxa" w:w="2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LoRa to Hub</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YoLink Hub</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Central (near router)</w:t>
            </w:r>
          </w:p>
        </w:tc>
        <w:tc>
          <w:tcPr>
            <w:tcW w:type="dxa" w:w="2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Aggregation/relay</w:t>
            </w:r>
          </w:p>
        </w:tc>
        <w:tc>
          <w:tcPr>
            <w:tcW w:type="dxa" w:w="2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Wi-Fi to cloud</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Family1st OBD-II</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Vehicle (OBD port)</w:t>
            </w:r>
          </w:p>
        </w:tc>
        <w:tc>
          <w:tcPr>
            <w:tcW w:type="dxa" w:w="2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Driving behavior</w:t>
            </w:r>
          </w:p>
        </w:tc>
        <w:tc>
          <w:tcPr>
            <w:tcW w:type="dxa" w:w="2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Cellular (T-Mobile)</w:t>
            </w:r>
          </w:p>
        </w:tc>
      </w:tr>
    </w:tbl>
    <w:p>
      <w:pPr>
        <w:pStyle w:val="Heading2"/>
        <w:spacing w:before="280" w:after="160"/>
      </w:pPr>
      <w:r>
        <w:rPr>
          <w:rFonts w:ascii="Arial" w:cs="Arial" w:eastAsia="Arial" w:hAnsi="Arial"/>
          <w:b/>
          <w:bCs/>
          <w:color w:val="1B3A5C"/>
          <w:sz w:val="24"/>
          <w:szCs w:val="24"/>
        </w:rPr>
        <w:t xml:space="preserve">4.2 B2B / PACE Bundle</w:t>
      </w:r>
    </w:p>
    <w:p>
      <w:pPr>
        <w:spacing w:before="80" w:after="80"/>
        <w:jc w:val="left"/>
      </w:pPr>
      <w:r>
        <w:rPr>
          <w:rFonts w:ascii="Arial" w:cs="Arial" w:eastAsia="Arial" w:hAnsi="Arial"/>
          <w:b w:val="false"/>
          <w:bCs w:val="false"/>
          <w:i w:val="false"/>
          <w:iCs w:val="false"/>
          <w:color w:val="333333"/>
          <w:sz w:val="20"/>
          <w:szCs w:val="20"/>
        </w:rPr>
        <w:t xml:space="preserve">Same as B2C except: Family1st OBD-II is replaced by HERO Pill Dispenser (countertop placement, Wi-Fi connectivity, medication dispensing and adherence data).</w:t>
      </w:r>
    </w:p>
    <w:p>
      <w:pPr>
        <w:pStyle w:val="Heading2"/>
        <w:spacing w:before="280" w:after="160"/>
      </w:pPr>
      <w:r>
        <w:rPr>
          <w:rFonts w:ascii="Arial" w:cs="Arial" w:eastAsia="Arial" w:hAnsi="Arial"/>
          <w:b/>
          <w:bCs/>
          <w:color w:val="1B3A5C"/>
          <w:sz w:val="24"/>
          <w:szCs w:val="24"/>
        </w:rPr>
        <w:t xml:space="preserve">4.3 Sensor Placement</w:t>
      </w:r>
    </w:p>
    <w:p>
      <w:pPr>
        <w:spacing w:before="80" w:after="80"/>
        <w:jc w:val="left"/>
      </w:pPr>
      <w:r>
        <w:rPr>
          <w:rFonts w:ascii="Arial" w:cs="Arial" w:eastAsia="Arial" w:hAnsi="Arial"/>
          <w:b w:val="false"/>
          <w:bCs w:val="false"/>
          <w:i w:val="false"/>
          <w:iCs w:val="false"/>
          <w:color w:val="333333"/>
          <w:sz w:val="20"/>
          <w:szCs w:val="20"/>
        </w:rPr>
        <w:t xml:space="preserve">Standard configuration places the YoLink motion sensor and flush sensor in the primary bathroom only. Additional sensors for other rooms (kitchen, bedroom, living areas) are available as add-on purchases through the in-app store.</w:t>
      </w:r>
    </w:p>
    <w:p>
      <w:r>
        <w:br w:type="page"/>
      </w:r>
    </w:p>
    <w:p>
      <w:pPr>
        <w:pStyle w:val="Heading1"/>
        <w:spacing w:before="360" w:after="200"/>
      </w:pPr>
      <w:r>
        <w:rPr>
          <w:rFonts w:ascii="Arial" w:cs="Arial" w:eastAsia="Arial" w:hAnsi="Arial"/>
          <w:b/>
          <w:bCs/>
          <w:color w:val="1B3A5C"/>
          <w:sz w:val="28"/>
          <w:szCs w:val="28"/>
        </w:rPr>
        <w:t xml:space="preserve">5. ALERT SYSTEM</w:t>
      </w:r>
    </w:p>
    <w:p>
      <w:pPr>
        <w:pStyle w:val="Heading2"/>
        <w:spacing w:before="280" w:after="160"/>
      </w:pPr>
      <w:r>
        <w:rPr>
          <w:rFonts w:ascii="Arial" w:cs="Arial" w:eastAsia="Arial" w:hAnsi="Arial"/>
          <w:b/>
          <w:bCs/>
          <w:color w:val="1B3A5C"/>
          <w:sz w:val="24"/>
          <w:szCs w:val="24"/>
        </w:rPr>
        <w:t xml:space="preserve">5.1 Alert Types</w:t>
      </w:r>
    </w:p>
    <w:p>
      <w:pPr>
        <w:pStyle w:val="ListParagraph"/>
        <w:numPr>
          <w:ilvl w:val="0"/>
          <w:numId w:val="2"/>
        </w:numPr>
        <w:spacing w:before="40" w:after="40"/>
      </w:pPr>
      <w:r>
        <w:rPr>
          <w:rFonts w:ascii="Arial" w:cs="Arial" w:eastAsia="Arial" w:hAnsi="Arial"/>
          <w:b/>
          <w:bCs/>
          <w:color w:val="333333"/>
          <w:sz w:val="20"/>
          <w:szCs w:val="20"/>
        </w:rPr>
        <w:t xml:space="preserve">Critical Alerts: </w:t>
      </w:r>
      <w:r>
        <w:rPr>
          <w:rFonts w:ascii="Arial" w:cs="Arial" w:eastAsia="Arial" w:hAnsi="Arial"/>
          <w:color w:val="333333"/>
          <w:sz w:val="20"/>
          <w:szCs w:val="20"/>
        </w:rPr>
        <w:t xml:space="preserve">Fall detected [Ring 1], cardiac event [Ring 1 — requires Apple Watch integration], wandering outside geofence [Ring 1 — requires Apple Watch integration]. Immediate notification.</w:t>
      </w:r>
    </w:p>
    <w:p>
      <w:pPr>
        <w:pStyle w:val="ListParagraph"/>
        <w:numPr>
          <w:ilvl w:val="0"/>
          <w:numId w:val="2"/>
        </w:numPr>
        <w:spacing w:before="40" w:after="40"/>
      </w:pPr>
      <w:r>
        <w:rPr>
          <w:rFonts w:ascii="Arial" w:cs="Arial" w:eastAsia="Arial" w:hAnsi="Arial"/>
          <w:b/>
          <w:bCs/>
          <w:color w:val="333333"/>
          <w:sz w:val="20"/>
          <w:szCs w:val="20"/>
        </w:rPr>
        <w:t xml:space="preserve">Warning Alerts: </w:t>
      </w:r>
      <w:r>
        <w:rPr>
          <w:rFonts w:ascii="Arial" w:cs="Arial" w:eastAsia="Arial" w:hAnsi="Arial"/>
          <w:color w:val="333333"/>
          <w:sz w:val="20"/>
          <w:szCs w:val="20"/>
        </w:rPr>
        <w:t xml:space="preserve">Significant score changes (&gt;15 points), medication non-adherence, unusual bathroom patterns. Prompt notification.</w:t>
      </w:r>
    </w:p>
    <w:p>
      <w:pPr>
        <w:pStyle w:val="ListParagraph"/>
        <w:numPr>
          <w:ilvl w:val="0"/>
          <w:numId w:val="2"/>
        </w:numPr>
        <w:spacing w:before="40" w:after="40"/>
      </w:pPr>
      <w:r>
        <w:rPr>
          <w:rFonts w:ascii="Arial" w:cs="Arial" w:eastAsia="Arial" w:hAnsi="Arial"/>
          <w:b/>
          <w:bCs/>
          <w:color w:val="333333"/>
          <w:sz w:val="20"/>
          <w:szCs w:val="20"/>
        </w:rPr>
        <w:t xml:space="preserve">Informational Alerts: </w:t>
      </w:r>
      <w:r>
        <w:rPr>
          <w:rFonts w:ascii="Arial" w:cs="Arial" w:eastAsia="Arial" w:hAnsi="Arial"/>
          <w:color w:val="333333"/>
          <w:sz w:val="20"/>
          <w:szCs w:val="20"/>
        </w:rPr>
        <w:t xml:space="preserve">Assessment due reminders, trend summaries, minor pattern changes. Dashboard and email notification.</w:t>
      </w:r>
    </w:p>
    <w:p>
      <w:pPr>
        <w:pStyle w:val="Heading2"/>
        <w:spacing w:before="280" w:after="160"/>
      </w:pPr>
      <w:r>
        <w:rPr>
          <w:rFonts w:ascii="Arial" w:cs="Arial" w:eastAsia="Arial" w:hAnsi="Arial"/>
          <w:b/>
          <w:bCs/>
          <w:color w:val="1B3A5C"/>
          <w:sz w:val="24"/>
          <w:szCs w:val="24"/>
        </w:rPr>
        <w:t xml:space="preserve">5.2 Alert Delivery</w:t>
      </w:r>
    </w:p>
    <w:p>
      <w:pPr>
        <w:pStyle w:val="ListParagraph"/>
        <w:numPr>
          <w:ilvl w:val="0"/>
          <w:numId w:val="2"/>
        </w:numPr>
        <w:spacing w:before="40" w:after="40"/>
      </w:pPr>
      <w:r>
        <w:rPr>
          <w:rFonts w:ascii="Arial" w:cs="Arial" w:eastAsia="Arial" w:hAnsi="Arial"/>
          <w:b w:val="false"/>
          <w:bCs w:val="false"/>
          <w:color w:val="333333"/>
          <w:sz w:val="20"/>
          <w:szCs w:val="20"/>
        </w:rPr>
        <w:t xml:space="preserve">Dashboard: All alerts displayed in real-time</w:t>
      </w:r>
    </w:p>
    <w:p>
      <w:pPr>
        <w:pStyle w:val="ListParagraph"/>
        <w:numPr>
          <w:ilvl w:val="0"/>
          <w:numId w:val="2"/>
        </w:numPr>
        <w:spacing w:before="40" w:after="40"/>
      </w:pPr>
      <w:r>
        <w:rPr>
          <w:rFonts w:ascii="Arial" w:cs="Arial" w:eastAsia="Arial" w:hAnsi="Arial"/>
          <w:b w:val="false"/>
          <w:bCs w:val="false"/>
          <w:color w:val="333333"/>
          <w:sz w:val="20"/>
          <w:szCs w:val="20"/>
        </w:rPr>
        <w:t xml:space="preserve">Push Notification: Critical and warning alerts to mobile app</w:t>
      </w:r>
    </w:p>
    <w:p>
      <w:pPr>
        <w:pStyle w:val="ListParagraph"/>
        <w:numPr>
          <w:ilvl w:val="0"/>
          <w:numId w:val="2"/>
        </w:numPr>
        <w:spacing w:before="40" w:after="40"/>
      </w:pPr>
      <w:r>
        <w:rPr>
          <w:rFonts w:ascii="Arial" w:cs="Arial" w:eastAsia="Arial" w:hAnsi="Arial"/>
          <w:b w:val="false"/>
          <w:bCs w:val="false"/>
          <w:color w:val="333333"/>
          <w:sz w:val="20"/>
          <w:szCs w:val="20"/>
        </w:rPr>
        <w:t xml:space="preserve">SMS: Critical alerts (no PHI in message content; link to dashboard only)</w:t>
      </w:r>
    </w:p>
    <w:p>
      <w:pPr>
        <w:pStyle w:val="ListParagraph"/>
        <w:numPr>
          <w:ilvl w:val="0"/>
          <w:numId w:val="2"/>
        </w:numPr>
        <w:spacing w:before="40" w:after="40"/>
      </w:pPr>
      <w:r>
        <w:rPr>
          <w:rFonts w:ascii="Arial" w:cs="Arial" w:eastAsia="Arial" w:hAnsi="Arial"/>
          <w:b w:val="false"/>
          <w:bCs w:val="false"/>
          <w:color w:val="333333"/>
          <w:sz w:val="20"/>
          <w:szCs w:val="20"/>
        </w:rPr>
        <w:t xml:space="preserve">Voice Call (Twilio): Critical alerts with no dashboard response within configured window</w:t>
      </w:r>
    </w:p>
    <w:p>
      <w:pPr>
        <w:pStyle w:val="ListParagraph"/>
        <w:numPr>
          <w:ilvl w:val="0"/>
          <w:numId w:val="2"/>
        </w:numPr>
        <w:spacing w:before="40" w:after="40"/>
      </w:pPr>
      <w:r>
        <w:rPr>
          <w:rFonts w:ascii="Arial" w:cs="Arial" w:eastAsia="Arial" w:hAnsi="Arial"/>
          <w:b w:val="false"/>
          <w:bCs w:val="false"/>
          <w:color w:val="333333"/>
          <w:sz w:val="20"/>
          <w:szCs w:val="20"/>
        </w:rPr>
        <w:t xml:space="preserve">Monitoring Center Failover: If no response from any designated contact (where activated)</w:t>
      </w:r>
    </w:p>
    <w:p>
      <w:pPr>
        <w:pStyle w:val="Heading2"/>
        <w:spacing w:before="280" w:after="160"/>
      </w:pPr>
      <w:r>
        <w:rPr>
          <w:rFonts w:ascii="Arial" w:cs="Arial" w:eastAsia="Arial" w:hAnsi="Arial"/>
          <w:b/>
          <w:bCs/>
          <w:color w:val="1B3A5C"/>
          <w:sz w:val="24"/>
          <w:szCs w:val="24"/>
        </w:rPr>
        <w:t xml:space="preserve">5.3 Escalation Chain</w:t>
      </w:r>
    </w:p>
    <w:p>
      <w:pPr>
        <w:spacing w:before="80" w:after="80"/>
        <w:jc w:val="left"/>
      </w:pPr>
      <w:r>
        <w:rPr>
          <w:rFonts w:ascii="Arial" w:cs="Arial" w:eastAsia="Arial" w:hAnsi="Arial"/>
          <w:b w:val="false"/>
          <w:bCs w:val="false"/>
          <w:i w:val="false"/>
          <w:iCs w:val="false"/>
          <w:color w:val="333333"/>
          <w:sz w:val="20"/>
          <w:szCs w:val="20"/>
        </w:rPr>
        <w:t xml:space="preserve">The alert escalation chain is configurable per account. Default order:</w:t>
      </w:r>
    </w:p>
    <w:p>
      <w:pPr>
        <w:pStyle w:val="ListParagraph"/>
        <w:numPr>
          <w:ilvl w:val="0"/>
          <w:numId w:val="2"/>
        </w:numPr>
        <w:spacing w:before="40" w:after="40"/>
      </w:pPr>
      <w:r>
        <w:rPr>
          <w:rFonts w:ascii="Arial" w:cs="Arial" w:eastAsia="Arial" w:hAnsi="Arial"/>
          <w:b w:val="false"/>
          <w:bCs w:val="false"/>
          <w:color w:val="333333"/>
          <w:sz w:val="20"/>
          <w:szCs w:val="20"/>
        </w:rPr>
        <w:t xml:space="preserve">1. Primary family contact (dashboard + push + SMS)</w:t>
      </w:r>
    </w:p>
    <w:p>
      <w:pPr>
        <w:pStyle w:val="ListParagraph"/>
        <w:numPr>
          <w:ilvl w:val="0"/>
          <w:numId w:val="2"/>
        </w:numPr>
        <w:spacing w:before="40" w:after="40"/>
      </w:pPr>
      <w:r>
        <w:rPr>
          <w:rFonts w:ascii="Arial" w:cs="Arial" w:eastAsia="Arial" w:hAnsi="Arial"/>
          <w:b w:val="false"/>
          <w:bCs w:val="false"/>
          <w:color w:val="333333"/>
          <w:sz w:val="20"/>
          <w:szCs w:val="20"/>
        </w:rPr>
        <w:t xml:space="preserve">2. Secondary contacts in order (same channels)</w:t>
      </w:r>
    </w:p>
    <w:p>
      <w:pPr>
        <w:pStyle w:val="ListParagraph"/>
        <w:numPr>
          <w:ilvl w:val="0"/>
          <w:numId w:val="2"/>
        </w:numPr>
        <w:spacing w:before="40" w:after="40"/>
      </w:pPr>
      <w:r>
        <w:rPr>
          <w:rFonts w:ascii="Arial" w:cs="Arial" w:eastAsia="Arial" w:hAnsi="Arial"/>
          <w:b w:val="false"/>
          <w:bCs w:val="false"/>
          <w:color w:val="333333"/>
          <w:sz w:val="20"/>
          <w:szCs w:val="20"/>
        </w:rPr>
        <w:t xml:space="preserve">3. Healthcare provider (if configured)</w:t>
      </w:r>
    </w:p>
    <w:p>
      <w:pPr>
        <w:pStyle w:val="ListParagraph"/>
        <w:numPr>
          <w:ilvl w:val="0"/>
          <w:numId w:val="2"/>
        </w:numPr>
        <w:spacing w:before="40" w:after="40"/>
      </w:pPr>
      <w:r>
        <w:rPr>
          <w:rFonts w:ascii="Arial" w:cs="Arial" w:eastAsia="Arial" w:hAnsi="Arial"/>
          <w:b w:val="false"/>
          <w:bCs w:val="false"/>
          <w:color w:val="333333"/>
          <w:sz w:val="20"/>
          <w:szCs w:val="20"/>
        </w:rPr>
        <w:t xml:space="preserve">4. UL-certified central station monitoring services (only when Monitoring Center Addendum (Exhibit G) is executed and active)</w:t>
      </w:r>
    </w:p>
    <w:p>
      <w:r>
        <w:br w:type="page"/>
      </w:r>
    </w:p>
    <w:p>
      <w:pPr>
        <w:pStyle w:val="Heading1"/>
        <w:spacing w:before="360" w:after="200"/>
      </w:pPr>
      <w:r>
        <w:rPr>
          <w:rFonts w:ascii="Arial" w:cs="Arial" w:eastAsia="Arial" w:hAnsi="Arial"/>
          <w:b/>
          <w:bCs/>
          <w:color w:val="1B3A5C"/>
          <w:sz w:val="28"/>
          <w:szCs w:val="28"/>
        </w:rPr>
        <w:t xml:space="preserve">6. DASHBOARD AND REPORTING</w:t>
      </w:r>
    </w:p>
    <w:p>
      <w:pPr>
        <w:pStyle w:val="Heading2"/>
        <w:spacing w:before="280" w:after="160"/>
      </w:pPr>
      <w:r>
        <w:rPr>
          <w:rFonts w:ascii="Arial" w:cs="Arial" w:eastAsia="Arial" w:hAnsi="Arial"/>
          <w:b/>
          <w:bCs/>
          <w:color w:val="1B3A5C"/>
          <w:sz w:val="24"/>
          <w:szCs w:val="24"/>
        </w:rPr>
        <w:t xml:space="preserve">6.1 Dashboard Views</w:t>
      </w:r>
    </w:p>
    <w:p>
      <w:pPr>
        <w:pStyle w:val="ListParagraph"/>
        <w:numPr>
          <w:ilvl w:val="0"/>
          <w:numId w:val="2"/>
        </w:numPr>
        <w:spacing w:before="40" w:after="40"/>
      </w:pPr>
      <w:r>
        <w:rPr>
          <w:rFonts w:ascii="Arial" w:cs="Arial" w:eastAsia="Arial" w:hAnsi="Arial"/>
          <w:b w:val="false"/>
          <w:bCs w:val="false"/>
          <w:color w:val="333333"/>
          <w:sz w:val="20"/>
          <w:szCs w:val="20"/>
        </w:rPr>
        <w:t xml:space="preserve">Overview: Overall Insight Score with Physical and Mental Health breakdowns</w:t>
      </w:r>
    </w:p>
    <w:p>
      <w:pPr>
        <w:pStyle w:val="ListParagraph"/>
        <w:numPr>
          <w:ilvl w:val="0"/>
          <w:numId w:val="2"/>
        </w:numPr>
        <w:spacing w:before="40" w:after="40"/>
      </w:pPr>
      <w:r>
        <w:rPr>
          <w:rFonts w:ascii="Arial" w:cs="Arial" w:eastAsia="Arial" w:hAnsi="Arial"/>
          <w:b w:val="false"/>
          <w:bCs w:val="false"/>
          <w:color w:val="333333"/>
          <w:sz w:val="20"/>
          <w:szCs w:val="20"/>
        </w:rPr>
        <w:t xml:space="preserve">Physical Health: Individual domain scores (Falls, Cardiac, Restroom, ADL, IADL, Driving, Balance, Body Metrics)</w:t>
      </w:r>
    </w:p>
    <w:p>
      <w:pPr>
        <w:pStyle w:val="ListParagraph"/>
        <w:numPr>
          <w:ilvl w:val="0"/>
          <w:numId w:val="2"/>
        </w:numPr>
        <w:spacing w:before="40" w:after="40"/>
      </w:pPr>
      <w:r>
        <w:rPr>
          <w:rFonts w:ascii="Arial" w:cs="Arial" w:eastAsia="Arial" w:hAnsi="Arial"/>
          <w:b w:val="false"/>
          <w:bCs w:val="false"/>
          <w:color w:val="333333"/>
          <w:sz w:val="20"/>
          <w:szCs w:val="20"/>
        </w:rPr>
        <w:t xml:space="preserve">Mental Health: Individual domain scores (Memory, Cognition, Loneliness/Depression)</w:t>
      </w:r>
    </w:p>
    <w:p>
      <w:pPr>
        <w:pStyle w:val="ListParagraph"/>
        <w:numPr>
          <w:ilvl w:val="0"/>
          <w:numId w:val="2"/>
        </w:numPr>
        <w:spacing w:before="40" w:after="40"/>
      </w:pPr>
      <w:r>
        <w:rPr>
          <w:rFonts w:ascii="Arial" w:cs="Arial" w:eastAsia="Arial" w:hAnsi="Arial"/>
          <w:b w:val="false"/>
          <w:bCs w:val="false"/>
          <w:color w:val="333333"/>
          <w:sz w:val="20"/>
          <w:szCs w:val="20"/>
        </w:rPr>
        <w:t xml:space="preserve">Alerts: Real-time and historical alert log</w:t>
      </w:r>
    </w:p>
    <w:p>
      <w:pPr>
        <w:pStyle w:val="ListParagraph"/>
        <w:numPr>
          <w:ilvl w:val="0"/>
          <w:numId w:val="2"/>
        </w:numPr>
        <w:spacing w:before="40" w:after="40"/>
      </w:pPr>
      <w:r>
        <w:rPr>
          <w:rFonts w:ascii="Arial" w:cs="Arial" w:eastAsia="Arial" w:hAnsi="Arial"/>
          <w:b w:val="false"/>
          <w:bCs w:val="false"/>
          <w:color w:val="333333"/>
          <w:sz w:val="20"/>
          <w:szCs w:val="20"/>
        </w:rPr>
        <w:t xml:space="preserve">Assessments: Schedule, completion status, and historical results</w:t>
      </w:r>
    </w:p>
    <w:p>
      <w:pPr>
        <w:pStyle w:val="ListParagraph"/>
        <w:numPr>
          <w:ilvl w:val="0"/>
          <w:numId w:val="2"/>
        </w:numPr>
        <w:spacing w:before="40" w:after="40"/>
      </w:pPr>
      <w:r>
        <w:rPr>
          <w:rFonts w:ascii="Arial" w:cs="Arial" w:eastAsia="Arial" w:hAnsi="Arial"/>
          <w:b w:val="false"/>
          <w:bCs w:val="false"/>
          <w:color w:val="333333"/>
          <w:sz w:val="20"/>
          <w:szCs w:val="20"/>
        </w:rPr>
        <w:t xml:space="preserve">Settings: Contact management, alert preferences, escalation configuration</w:t>
      </w:r>
    </w:p>
    <w:p>
      <w:pPr>
        <w:pStyle w:val="Heading2"/>
        <w:spacing w:before="280" w:after="160"/>
      </w:pPr>
      <w:r>
        <w:rPr>
          <w:rFonts w:ascii="Arial" w:cs="Arial" w:eastAsia="Arial" w:hAnsi="Arial"/>
          <w:b/>
          <w:bCs/>
          <w:color w:val="1B3A5C"/>
          <w:sz w:val="24"/>
          <w:szCs w:val="24"/>
        </w:rPr>
        <w:t xml:space="preserve">6.2 Organizational Dashboard (B2B)</w:t>
      </w:r>
    </w:p>
    <w:p>
      <w:pPr>
        <w:spacing w:before="80" w:after="80"/>
        <w:jc w:val="left"/>
      </w:pPr>
      <w:r>
        <w:rPr>
          <w:rFonts w:ascii="Arial" w:cs="Arial" w:eastAsia="Arial" w:hAnsi="Arial"/>
          <w:b w:val="false"/>
          <w:bCs w:val="false"/>
          <w:i w:val="false"/>
          <w:iCs w:val="false"/>
          <w:color w:val="333333"/>
          <w:sz w:val="20"/>
          <w:szCs w:val="20"/>
        </w:rPr>
        <w:t xml:space="preserve">PACE and organizational administrators have access to a multi-resident management dashboard with population-level reporting, compliance tracking, and administrative tools.</w:t>
      </w:r>
    </w:p>
    <w:p>
      <w:pPr>
        <w:pStyle w:val="Heading2"/>
        <w:spacing w:before="280" w:after="160"/>
      </w:pPr>
      <w:r>
        <w:rPr>
          <w:rFonts w:ascii="Arial" w:cs="Arial" w:eastAsia="Arial" w:hAnsi="Arial"/>
          <w:b/>
          <w:bCs/>
          <w:color w:val="1B3A5C"/>
          <w:sz w:val="24"/>
          <w:szCs w:val="24"/>
        </w:rPr>
        <w:t xml:space="preserve">6.3 Data Export</w:t>
      </w:r>
    </w:p>
    <w:p>
      <w:pPr>
        <w:spacing w:before="80" w:after="80"/>
        <w:jc w:val="left"/>
      </w:pPr>
      <w:r>
        <w:rPr>
          <w:rFonts w:ascii="Arial" w:cs="Arial" w:eastAsia="Arial" w:hAnsi="Arial"/>
          <w:b w:val="false"/>
          <w:bCs w:val="false"/>
          <w:i w:val="false"/>
          <w:iCs w:val="false"/>
          <w:color w:val="333333"/>
          <w:sz w:val="20"/>
          <w:szCs w:val="20"/>
        </w:rPr>
        <w:t xml:space="preserve">Users may export their data at any time through the dashboard in standard formats. Upon cancellation, data remains available for export for thirty (30) days.</w:t>
      </w:r>
    </w:p>
    <w:p>
      <w:r>
        <w:br w:type="page"/>
      </w:r>
    </w:p>
    <w:p>
      <w:pPr>
        <w:pStyle w:val="Heading1"/>
        <w:spacing w:before="360" w:after="200"/>
      </w:pPr>
      <w:r>
        <w:rPr>
          <w:rFonts w:ascii="Arial" w:cs="Arial" w:eastAsia="Arial" w:hAnsi="Arial"/>
          <w:b/>
          <w:bCs/>
          <w:color w:val="1B3A5C"/>
          <w:sz w:val="28"/>
          <w:szCs w:val="28"/>
        </w:rPr>
        <w:t xml:space="preserve">7. OBSERVATIONS LANGUAGE STANDARDS</w:t>
      </w:r>
    </w:p>
    <w:p>
      <w:pPr>
        <w:spacing w:before="80" w:after="80"/>
        <w:jc w:val="left"/>
      </w:pPr>
      <w:r>
        <w:rPr>
          <w:rFonts w:ascii="Arial" w:cs="Arial" w:eastAsia="Arial" w:hAnsi="Arial"/>
          <w:b w:val="false"/>
          <w:bCs w:val="false"/>
          <w:i w:val="false"/>
          <w:iCs w:val="false"/>
          <w:color w:val="333333"/>
          <w:sz w:val="20"/>
          <w:szCs w:val="20"/>
        </w:rPr>
        <w:t xml:space="preserve">All platform outputs use the approved Observations taxonomy defined in Section 3.2 of the Master Terms of Service. The platform generates signals and pattern deviations, not medical advice, clinical directives, or diagnoses.</w:t>
      </w:r>
    </w:p>
    <w:p>
      <w:pPr>
        <w:pStyle w:val="Heading2"/>
        <w:spacing w:before="280" w:after="160"/>
      </w:pPr>
      <w:r>
        <w:rPr>
          <w:rFonts w:ascii="Arial" w:cs="Arial" w:eastAsia="Arial" w:hAnsi="Arial"/>
          <w:b/>
          <w:bCs/>
          <w:color w:val="1B3A5C"/>
          <w:sz w:val="24"/>
          <w:szCs w:val="24"/>
        </w:rPr>
        <w:t xml:space="preserve">7.1 Example Observations</w:t>
      </w:r>
    </w:p>
    <w:p>
      <w:pPr>
        <w:pStyle w:val="ListParagraph"/>
        <w:numPr>
          <w:ilvl w:val="0"/>
          <w:numId w:val="2"/>
        </w:numPr>
        <w:spacing w:before="40" w:after="40"/>
      </w:pPr>
      <w:r>
        <w:rPr>
          <w:rFonts w:ascii="Arial" w:cs="Arial" w:eastAsia="Arial" w:hAnsi="Arial"/>
          <w:b/>
          <w:bCs/>
          <w:color w:val="333333"/>
          <w:sz w:val="20"/>
          <w:szCs w:val="20"/>
        </w:rPr>
        <w:t xml:space="preserve">Approved: </w:t>
      </w:r>
      <w:r>
        <w:rPr>
          <w:rFonts w:ascii="Arial" w:cs="Arial" w:eastAsia="Arial" w:hAnsi="Arial"/>
          <w:color w:val="333333"/>
          <w:sz w:val="20"/>
          <w:szCs w:val="20"/>
        </w:rPr>
        <w:t xml:space="preserve">“Bathroom usage frequency has increased 40% from baseline. Review suggested.”</w:t>
      </w:r>
    </w:p>
    <w:p>
      <w:pPr>
        <w:pStyle w:val="ListParagraph"/>
        <w:numPr>
          <w:ilvl w:val="0"/>
          <w:numId w:val="2"/>
        </w:numPr>
        <w:spacing w:before="40" w:after="40"/>
      </w:pPr>
      <w:r>
        <w:rPr>
          <w:rFonts w:ascii="Arial" w:cs="Arial" w:eastAsia="Arial" w:hAnsi="Arial"/>
          <w:b/>
          <w:bCs/>
          <w:color w:val="333333"/>
          <w:sz w:val="20"/>
          <w:szCs w:val="20"/>
        </w:rPr>
        <w:t xml:space="preserve">Approved: </w:t>
      </w:r>
      <w:r>
        <w:rPr>
          <w:rFonts w:ascii="Arial" w:cs="Arial" w:eastAsia="Arial" w:hAnsi="Arial"/>
          <w:color w:val="333333"/>
          <w:sz w:val="20"/>
          <w:szCs w:val="20"/>
        </w:rPr>
        <w:t xml:space="preserve">“Balance assessment trend: declining over 3 assessments. Consider discussing with healthcare provider.”</w:t>
      </w:r>
    </w:p>
    <w:p>
      <w:pPr>
        <w:pStyle w:val="ListParagraph"/>
        <w:numPr>
          <w:ilvl w:val="0"/>
          <w:numId w:val="2"/>
        </w:numPr>
        <w:spacing w:before="40" w:after="40"/>
      </w:pPr>
      <w:r>
        <w:rPr>
          <w:rFonts w:ascii="Arial" w:cs="Arial" w:eastAsia="Arial" w:hAnsi="Arial"/>
          <w:b/>
          <w:bCs/>
          <w:color w:val="333333"/>
          <w:sz w:val="20"/>
          <w:szCs w:val="20"/>
        </w:rPr>
        <w:t xml:space="preserve">Approved: </w:t>
      </w:r>
      <w:r>
        <w:rPr>
          <w:rFonts w:ascii="Arial" w:cs="Arial" w:eastAsia="Arial" w:hAnsi="Arial"/>
          <w:color w:val="333333"/>
          <w:sz w:val="20"/>
          <w:szCs w:val="20"/>
        </w:rPr>
        <w:t xml:space="preserve">“Medication adherence signal: 2 missed doses this week. Pattern deviation detected.”</w:t>
      </w:r>
    </w:p>
    <w:p>
      <w:pPr>
        <w:pStyle w:val="ListParagraph"/>
        <w:numPr>
          <w:ilvl w:val="0"/>
          <w:numId w:val="2"/>
        </w:numPr>
        <w:spacing w:before="40" w:after="40"/>
      </w:pPr>
      <w:r>
        <w:rPr>
          <w:rFonts w:ascii="Arial" w:cs="Arial" w:eastAsia="Arial" w:hAnsi="Arial"/>
          <w:b/>
          <w:bCs/>
          <w:color w:val="333333"/>
          <w:sz w:val="20"/>
          <w:szCs w:val="20"/>
        </w:rPr>
        <w:t xml:space="preserve">Prohibited: </w:t>
      </w:r>
      <w:r>
        <w:rPr>
          <w:rFonts w:ascii="Arial" w:cs="Arial" w:eastAsia="Arial" w:hAnsi="Arial"/>
          <w:color w:val="333333"/>
          <w:sz w:val="20"/>
          <w:szCs w:val="20"/>
        </w:rPr>
        <w:t xml:space="preserve">“We recommend stopping driving immediately.”</w:t>
      </w:r>
    </w:p>
    <w:p>
      <w:pPr>
        <w:pStyle w:val="ListParagraph"/>
        <w:numPr>
          <w:ilvl w:val="0"/>
          <w:numId w:val="2"/>
        </w:numPr>
        <w:spacing w:before="40" w:after="40"/>
      </w:pPr>
      <w:r>
        <w:rPr>
          <w:rFonts w:ascii="Arial" w:cs="Arial" w:eastAsia="Arial" w:hAnsi="Arial"/>
          <w:b/>
          <w:bCs/>
          <w:color w:val="333333"/>
          <w:sz w:val="20"/>
          <w:szCs w:val="20"/>
        </w:rPr>
        <w:t xml:space="preserve">Prohibited: </w:t>
      </w:r>
      <w:r>
        <w:rPr>
          <w:rFonts w:ascii="Arial" w:cs="Arial" w:eastAsia="Arial" w:hAnsi="Arial"/>
          <w:color w:val="333333"/>
          <w:sz w:val="20"/>
          <w:szCs w:val="20"/>
        </w:rPr>
        <w:t xml:space="preserve">“UTI detected. Seek medical treatment.”</w:t>
      </w:r>
    </w:p>
    <w:p>
      <w:pPr>
        <w:pStyle w:val="Heading2"/>
        <w:spacing w:before="280" w:after="160"/>
      </w:pPr>
      <w:r>
        <w:rPr>
          <w:rFonts w:ascii="Arial" w:cs="Arial" w:eastAsia="Arial" w:hAnsi="Arial"/>
          <w:b/>
          <w:bCs/>
          <w:color w:val="1B3A5C"/>
          <w:sz w:val="24"/>
          <w:szCs w:val="24"/>
        </w:rPr>
        <w:t xml:space="preserve">7.2 Insight Score Thresholds and Observations</w:t>
      </w:r>
    </w:p>
    <w:p>
      <w:pPr>
        <w:spacing w:before="80" w:after="80"/>
        <w:jc w:val="left"/>
      </w:pPr>
      <w:r>
        <w:rPr>
          <w:rFonts w:ascii="Arial" w:cs="Arial" w:eastAsia="Arial" w:hAnsi="Arial"/>
          <w:b w:val="false"/>
          <w:bCs w:val="false"/>
          <w:i w:val="false"/>
          <w:iCs w:val="false"/>
          <w:color w:val="333333"/>
          <w:sz w:val="20"/>
          <w:szCs w:val="20"/>
        </w:rPr>
        <w:t xml:space="preserve">The platform generates tiered Observations based on Insight Score ranges and domain-specific changes. Specific thresholds and observation triggers are maintained in the internal scoring specification and may be adjusted as the platform learns from deployed data.</w:t>
      </w:r>
    </w:p>
    <w:p>
      <w:r>
        <w:br w:type="page"/>
      </w:r>
    </w:p>
    <w:p>
      <w:pPr>
        <w:pStyle w:val="Heading1"/>
        <w:spacing w:before="360" w:after="200"/>
      </w:pPr>
      <w:r>
        <w:rPr>
          <w:rFonts w:ascii="Arial" w:cs="Arial" w:eastAsia="Arial" w:hAnsi="Arial"/>
          <w:b/>
          <w:bCs/>
          <w:color w:val="1B3A5C"/>
          <w:sz w:val="28"/>
          <w:szCs w:val="28"/>
        </w:rPr>
        <w:t xml:space="preserve">8. PLATFORM REQUIREMENTS</w:t>
      </w:r>
    </w:p>
    <w:p>
      <w:pPr>
        <w:pStyle w:val="Heading2"/>
        <w:spacing w:before="280" w:after="160"/>
      </w:pPr>
      <w:r>
        <w:rPr>
          <w:rFonts w:ascii="Arial" w:cs="Arial" w:eastAsia="Arial" w:hAnsi="Arial"/>
          <w:b/>
          <w:bCs/>
          <w:color w:val="1B3A5C"/>
          <w:sz w:val="24"/>
          <w:szCs w:val="24"/>
        </w:rPr>
        <w:t xml:space="preserve">8.1 Home Requirements</w:t>
      </w:r>
    </w:p>
    <w:p>
      <w:pPr>
        <w:pStyle w:val="ListParagraph"/>
        <w:numPr>
          <w:ilvl w:val="0"/>
          <w:numId w:val="2"/>
        </w:numPr>
        <w:spacing w:before="40" w:after="40"/>
      </w:pPr>
      <w:r>
        <w:rPr>
          <w:rFonts w:ascii="Arial" w:cs="Arial" w:eastAsia="Arial" w:hAnsi="Arial"/>
          <w:b w:val="false"/>
          <w:bCs w:val="false"/>
          <w:color w:val="333333"/>
          <w:sz w:val="20"/>
          <w:szCs w:val="20"/>
        </w:rPr>
        <w:t xml:space="preserve">Active internet connection (Wi-Fi) with minimum 10 Mbps</w:t>
      </w:r>
    </w:p>
    <w:p>
      <w:pPr>
        <w:pStyle w:val="ListParagraph"/>
        <w:numPr>
          <w:ilvl w:val="0"/>
          <w:numId w:val="2"/>
        </w:numPr>
        <w:spacing w:before="40" w:after="40"/>
      </w:pPr>
      <w:r>
        <w:rPr>
          <w:rFonts w:ascii="Arial" w:cs="Arial" w:eastAsia="Arial" w:hAnsi="Arial"/>
          <w:b w:val="false"/>
          <w:bCs w:val="false"/>
          <w:color w:val="333333"/>
          <w:sz w:val="20"/>
          <w:szCs w:val="20"/>
        </w:rPr>
        <w:t xml:space="preserve">Cellular coverage for Apple Watch LTE features (where applicable)</w:t>
      </w:r>
    </w:p>
    <w:p>
      <w:pPr>
        <w:pStyle w:val="ListParagraph"/>
        <w:numPr>
          <w:ilvl w:val="0"/>
          <w:numId w:val="2"/>
        </w:numPr>
        <w:spacing w:before="40" w:after="40"/>
      </w:pPr>
      <w:r>
        <w:rPr>
          <w:rFonts w:ascii="Arial" w:cs="Arial" w:eastAsia="Arial" w:hAnsi="Arial"/>
          <w:b w:val="false"/>
          <w:bCs w:val="false"/>
          <w:color w:val="333333"/>
          <w:sz w:val="20"/>
          <w:szCs w:val="20"/>
        </w:rPr>
        <w:t xml:space="preserve">Standard power outlets for sensor hub and device charging</w:t>
      </w:r>
    </w:p>
    <w:p>
      <w:pPr>
        <w:pStyle w:val="ListParagraph"/>
        <w:numPr>
          <w:ilvl w:val="0"/>
          <w:numId w:val="2"/>
        </w:numPr>
        <w:spacing w:before="40" w:after="40"/>
      </w:pPr>
      <w:r>
        <w:rPr>
          <w:rFonts w:ascii="Arial" w:cs="Arial" w:eastAsia="Arial" w:hAnsi="Arial"/>
          <w:b w:val="false"/>
          <w:bCs w:val="false"/>
          <w:color w:val="333333"/>
          <w:sz w:val="20"/>
          <w:szCs w:val="20"/>
        </w:rPr>
        <w:t xml:space="preserve">Bathroom access for sensor installation</w:t>
      </w:r>
    </w:p>
    <w:p>
      <w:pPr>
        <w:pStyle w:val="Heading2"/>
        <w:spacing w:before="280" w:after="160"/>
      </w:pPr>
      <w:r>
        <w:rPr>
          <w:rFonts w:ascii="Arial" w:cs="Arial" w:eastAsia="Arial" w:hAnsi="Arial"/>
          <w:b/>
          <w:bCs/>
          <w:color w:val="1B3A5C"/>
          <w:sz w:val="24"/>
          <w:szCs w:val="24"/>
        </w:rPr>
        <w:t xml:space="preserve">8.2 Vehicle Requirements (B2C)</w:t>
      </w:r>
    </w:p>
    <w:p>
      <w:pPr>
        <w:pStyle w:val="ListParagraph"/>
        <w:numPr>
          <w:ilvl w:val="0"/>
          <w:numId w:val="2"/>
        </w:numPr>
        <w:spacing w:before="40" w:after="40"/>
      </w:pPr>
      <w:r>
        <w:rPr>
          <w:rFonts w:ascii="Arial" w:cs="Arial" w:eastAsia="Arial" w:hAnsi="Arial"/>
          <w:b w:val="false"/>
          <w:bCs w:val="false"/>
          <w:color w:val="333333"/>
          <w:sz w:val="20"/>
          <w:szCs w:val="20"/>
        </w:rPr>
        <w:t xml:space="preserve">OBD-II port (standard on vehicles 1996 and newer)</w:t>
      </w:r>
    </w:p>
    <w:p>
      <w:pPr>
        <w:pStyle w:val="ListParagraph"/>
        <w:numPr>
          <w:ilvl w:val="0"/>
          <w:numId w:val="2"/>
        </w:numPr>
        <w:spacing w:before="40" w:after="40"/>
      </w:pPr>
      <w:r>
        <w:rPr>
          <w:rFonts w:ascii="Arial" w:cs="Arial" w:eastAsia="Arial" w:hAnsi="Arial"/>
          <w:b w:val="false"/>
          <w:bCs w:val="false"/>
          <w:color w:val="333333"/>
          <w:sz w:val="20"/>
          <w:szCs w:val="20"/>
        </w:rPr>
        <w:t xml:space="preserve">T-Mobile cellular coverage in the driving area</w:t>
      </w:r>
    </w:p>
    <w:p>
      <w:pPr>
        <w:pStyle w:val="Heading2"/>
        <w:spacing w:before="280" w:after="160"/>
      </w:pPr>
      <w:r>
        <w:rPr>
          <w:rFonts w:ascii="Arial" w:cs="Arial" w:eastAsia="Arial" w:hAnsi="Arial"/>
          <w:b/>
          <w:bCs/>
          <w:color w:val="1B3A5C"/>
          <w:sz w:val="24"/>
          <w:szCs w:val="24"/>
        </w:rPr>
        <w:t xml:space="preserve">8.3 Supported Devices</w:t>
      </w:r>
    </w:p>
    <w:p>
      <w:pPr>
        <w:spacing w:before="80" w:after="80"/>
        <w:jc w:val="left"/>
      </w:pPr>
      <w:r>
        <w:rPr>
          <w:rFonts w:ascii="Arial" w:cs="Arial" w:eastAsia="Arial" w:hAnsi="Arial"/>
          <w:b w:val="false"/>
          <w:bCs w:val="false"/>
          <w:i w:val="false"/>
          <w:iCs w:val="false"/>
          <w:color w:val="333333"/>
          <w:sz w:val="20"/>
          <w:szCs w:val="20"/>
        </w:rPr>
        <w:t xml:space="preserve">The platform dashboard is accessible via modern web browsers (Chrome, Safari, Firefox, Edge) and the Remote Home Check mobile application (iOS and Android).</w:t>
      </w:r>
    </w:p>
    <w:p>
      <w:r>
        <w:br w:type="page"/>
      </w:r>
    </w:p>
    <w:p>
      <w:pPr>
        <w:pStyle w:val="Heading1"/>
        <w:spacing w:before="360" w:after="200"/>
      </w:pPr>
      <w:r>
        <w:rPr>
          <w:rFonts w:ascii="Arial" w:cs="Arial" w:eastAsia="Arial" w:hAnsi="Arial"/>
          <w:b/>
          <w:bCs/>
          <w:color w:val="1B3A5C"/>
          <w:sz w:val="28"/>
          <w:szCs w:val="28"/>
        </w:rPr>
        <w:t xml:space="preserve">9. DOCUMENT VERSIONING</w:t>
      </w:r>
    </w:p>
    <w:p>
      <w:pPr>
        <w:spacing w:before="80" w:after="80"/>
        <w:jc w:val="left"/>
      </w:pPr>
      <w:r>
        <w:rPr>
          <w:rFonts w:ascii="Arial" w:cs="Arial" w:eastAsia="Arial" w:hAnsi="Arial"/>
          <w:b w:val="false"/>
          <w:bCs w:val="false"/>
          <w:i w:val="false"/>
          <w:iCs w:val="false"/>
          <w:color w:val="333333"/>
          <w:sz w:val="20"/>
          <w:szCs w:val="20"/>
        </w:rPr>
        <w:t xml:space="preserve">This Product Documentation may be updated at any time to reflect new features, changed scoring weights, or adjusted alert thresholds. Changes to this document do not require amendment of the Master Terms of Service. Material changes that affect the user experience will be communicated through the dashboard and/or email.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000"/>
        <w:gridCol w:w="5360"/>
      </w:tblGrid>
      <w:tr>
        <w:tc>
          <w:tcPr>
            <w:tcW w:type="dxa" w:w="200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b/>
                <w:bCs/>
                <w:color w:val="333333"/>
                <w:sz w:val="18"/>
                <w:szCs w:val="18"/>
              </w:rPr>
              <w:t xml:space="preserve">Version</w:t>
            </w:r>
          </w:p>
        </w:tc>
        <w:tc>
          <w:tcPr>
            <w:tcW w:type="dxa" w:w="200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b/>
                <w:bCs/>
                <w:color w:val="333333"/>
                <w:sz w:val="18"/>
                <w:szCs w:val="18"/>
              </w:rPr>
              <w:t xml:space="preserve">Date</w:t>
            </w:r>
          </w:p>
        </w:tc>
        <w:tc>
          <w:tcPr>
            <w:tcW w:type="dxa" w:w="536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b/>
                <w:bCs/>
                <w:color w:val="333333"/>
                <w:sz w:val="18"/>
                <w:szCs w:val="18"/>
              </w:rPr>
              <w:t xml:space="preserve">Changes</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1.0</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Feb 27, 2026</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18"/>
                <w:szCs w:val="18"/>
              </w:rPr>
              <w:t xml:space="preserve">Initial release</w:t>
            </w:r>
          </w:p>
        </w:tc>
      </w:tr>
    </w:tbl>
    <w:p>
      <w:pPr>
        <w:spacing w:before="40" w:after="40"/>
      </w:pPr>
    </w:p>
    <w:p>
      <w:pPr>
        <w:spacing w:before="40" w:after="40"/>
      </w:pPr>
    </w:p>
    <w:p>
      <w:pPr>
        <w:pBdr>
          <w:top w:val="single" w:color="2E75B6" w:sz="2" w:space="8"/>
        </w:pBdr>
        <w:spacing w:before="400" w:after="200"/>
        <w:jc w:val="center"/>
      </w:pPr>
      <w:r>
        <w:rPr>
          <w:rFonts w:ascii="Arial" w:cs="Arial" w:eastAsia="Arial" w:hAnsi="Arial"/>
          <w:b/>
          <w:bCs/>
          <w:color w:val="1B3A5C"/>
          <w:sz w:val="20"/>
          <w:szCs w:val="20"/>
        </w:rPr>
        <w:t xml:space="preserve">[END OF PRODUCT DOCUMENTATION]</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space="4"/>
      </w:pBdr>
      <w:tabs>
        <w:tab w:val="right" w:pos="9026"/>
      </w:tabs>
    </w:pPr>
    <w:r>
      <w:rPr>
        <w:rFonts w:ascii="Arial" w:cs="Arial" w:eastAsia="Arial" w:hAnsi="Arial"/>
        <w:color w:val="666666"/>
        <w:sz w:val="14"/>
        <w:szCs w:val="14"/>
      </w:rPr>
      <w:t xml:space="preserve">Remote Home Check, LLC</w:t>
    </w:r>
    <w:r>
      <w:rPr>
        <w:rFonts w:ascii="Arial" w:cs="Arial" w:eastAsia="Arial" w:hAnsi="Arial"/>
        <w:color w:val="666666"/>
        <w:sz w:val="14"/>
        <w:szCs w:val="14"/>
      </w:rPr>
      <w:t xml:space="preserve">	Page </w:t>
    </w:r>
    <w:r>
      <w:rPr>
        <w:rFonts w:ascii="Arial" w:cs="Arial" w:eastAsia="Arial" w:hAnsi="Arial"/>
        <w:color w:val="666666"/>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666666"/>
        <w:sz w:val="16"/>
        <w:szCs w:val="16"/>
      </w:rPr>
      <w:t xml:space="preserve">RHC — Product Documentation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3A5C"/>
      <w:sz w:val="28"/>
      <w:szCs w:val="28"/>
    </w:rPr>
  </w:style>
  <w:style w:type="paragraph" w:styleId="Heading2">
    <w:name w:val="Heading 2"/>
    <w:basedOn w:val="Normal"/>
    <w:next w:val="Normal"/>
    <w:qFormat/>
    <w:pPr>
      <w:spacing w:before="280" w:after="160"/>
      <w:outlineLvl w:val="1"/>
    </w:pPr>
    <w:rPr>
      <w:rFonts w:ascii="Arial" w:cs="Arial" w:eastAsia="Arial" w:hAnsi="Arial"/>
      <w:b/>
      <w:bCs/>
      <w:color w:val="1B3A5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2026-02-28T03:01:43.437Z</dcterms:created>
  <dcterms:modified xsi:type="dcterms:W3CDTF">2026-02-28T03:01:43.437Z</dcterms:modified>
</cp:coreProperties>
</file>

<file path=docProps/custom.xml><?xml version="1.0" encoding="utf-8"?>
<Properties xmlns="http://schemas.openxmlformats.org/officeDocument/2006/custom-properties" xmlns:vt="http://schemas.openxmlformats.org/officeDocument/2006/docPropsVTypes"/>
</file>