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40" w:after="40"/>
      </w:pPr>
    </w:p>
    <w:p>
      <w:pPr>
        <w:spacing w:before="40" w:after="40"/>
      </w:pPr>
    </w:p>
    <w:p>
      <w:pPr>
        <w:spacing w:after="80"/>
        <w:jc w:val="center"/>
      </w:pPr>
      <w:r>
        <w:rPr>
          <w:rFonts w:ascii="Arial" w:cs="Arial" w:eastAsia="Arial" w:hAnsi="Arial"/>
          <w:b/>
          <w:bCs/>
          <w:color w:val="1B3A5C"/>
          <w:sz w:val="32"/>
          <w:szCs w:val="32"/>
        </w:rPr>
        <w:t xml:space="preserve">REMOTE HOME CHECK, LLC</w:t>
      </w:r>
    </w:p>
    <w:p>
      <w:pPr>
        <w:spacing w:after="200"/>
        <w:jc w:val="center"/>
      </w:pPr>
      <w:r>
        <w:rPr>
          <w:rFonts w:ascii="Arial" w:cs="Arial" w:eastAsia="Arial" w:hAnsi="Arial"/>
          <w:b/>
          <w:bCs/>
          <w:color w:val="2E75B6"/>
          <w:sz w:val="28"/>
          <w:szCs w:val="28"/>
        </w:rPr>
        <w:t xml:space="preserve">Organization Addendum (B2B)</w:t>
      </w:r>
    </w:p>
    <w:p>
      <w:pPr>
        <w:jc w:val="center"/>
      </w:pPr>
      <w:r>
        <w:rPr>
          <w:rFonts w:ascii="Arial" w:cs="Arial" w:eastAsia="Arial" w:hAnsi="Arial"/>
          <w:color w:val="666666"/>
          <w:sz w:val="20"/>
          <w:szCs w:val="20"/>
        </w:rPr>
        <w:t xml:space="preserve">Version 1.1 — Effective Date: March 1, 2026</w:t>
      </w:r>
    </w:p>
    <w:p>
      <w:pPr>
        <w:pBdr>
          <w:bottom w:val="single" w:color="2E75B6" w:sz="2" w:space="4"/>
        </w:pBdr>
        <w:spacing w:before="200" w:after="200"/>
      </w:pPr>
    </w:p>
    <w:p>
      <w:r>
        <w:br w:type="page"/>
      </w:r>
    </w:p>
    <w:p>
      <w:pPr>
        <w:pStyle w:val="Heading1"/>
        <w:spacing w:before="360" w:after="200"/>
      </w:pPr>
      <w:r>
        <w:rPr>
          <w:rFonts w:ascii="Arial" w:cs="Arial" w:eastAsia="Arial" w:hAnsi="Arial"/>
          <w:b/>
          <w:bCs/>
          <w:color w:val="1B3A5C"/>
          <w:sz w:val="28"/>
          <w:szCs w:val="28"/>
        </w:rPr>
        <w:t xml:space="preserve">1. SCOPE AND PURPOSE</w:t>
      </w:r>
    </w:p>
    <w:p>
      <w:pPr>
        <w:spacing w:before="80" w:after="80"/>
        <w:jc w:val="left"/>
      </w:pPr>
      <w:r>
        <w:rPr>
          <w:rFonts w:ascii="Arial" w:cs="Arial" w:eastAsia="Arial" w:hAnsi="Arial"/>
          <w:b w:val="false"/>
          <w:bCs w:val="false"/>
          <w:i w:val="false"/>
          <w:iCs w:val="false"/>
          <w:color w:val="333333"/>
          <w:sz w:val="20"/>
          <w:szCs w:val="20"/>
        </w:rPr>
        <w:t xml:space="preserve">This Organization Addendum (“Organization Addendum”) supplements the Master Terms of Service between Remote Home Check, LLC (“RHC”) and the subscribing organization (“Organization”). This Addendum governs PACE programs, senior living facilities, home health agencies, and other organizational subscribers. In the event of a conflict, this Addendum controls for B2B-specific matters.</w:t>
      </w:r>
    </w:p>
    <w:p>
      <w:pPr>
        <w:pStyle w:val="Heading1"/>
        <w:spacing w:before="360" w:after="200"/>
      </w:pPr>
      <w:r>
        <w:rPr>
          <w:rFonts w:ascii="Arial" w:cs="Arial" w:eastAsia="Arial" w:hAnsi="Arial"/>
          <w:b/>
          <w:bCs/>
          <w:color w:val="1B3A5C"/>
          <w:sz w:val="28"/>
          <w:szCs w:val="28"/>
        </w:rPr>
        <w:t xml:space="preserve">2. ORDER FORMS</w:t>
      </w:r>
    </w:p>
    <w:p>
      <w:pPr>
        <w:spacing w:before="80" w:after="80"/>
        <w:jc w:val="left"/>
      </w:pPr>
      <w:r>
        <w:rPr>
          <w:rFonts w:ascii="Arial" w:cs="Arial" w:eastAsia="Arial" w:hAnsi="Arial"/>
          <w:b w:val="false"/>
          <w:bCs w:val="false"/>
          <w:i w:val="false"/>
          <w:iCs w:val="false"/>
          <w:color w:val="333333"/>
          <w:sz w:val="20"/>
          <w:szCs w:val="20"/>
        </w:rPr>
        <w:t xml:space="preserve">Each deployment is governed by an Order Form executed by both parties. Order Forms specify: (a) the number of enrolled residents; (b) subscription tier and pricing; (c) deployment timeline; (d) term length; (e) any negotiated modifications to standard terms. Order Forms take precedence over this Addendum per the order of precedence in Section 0.2 of the Master Terms.</w:t>
      </w:r>
    </w:p>
    <w:p>
      <w:pPr>
        <w:pStyle w:val="Heading1"/>
        <w:spacing w:before="360" w:after="200"/>
      </w:pPr>
      <w:r>
        <w:rPr>
          <w:rFonts w:ascii="Arial" w:cs="Arial" w:eastAsia="Arial" w:hAnsi="Arial"/>
          <w:b/>
          <w:bCs/>
          <w:color w:val="1B3A5C"/>
          <w:sz w:val="28"/>
          <w:szCs w:val="28"/>
        </w:rPr>
        <w:t xml:space="preserve">3. SUBSCRIPTION AND PRICING</w:t>
      </w:r>
    </w:p>
    <w:p>
      <w:pPr>
        <w:pStyle w:val="Heading2"/>
        <w:spacing w:before="280" w:after="160"/>
      </w:pPr>
      <w:r>
        <w:rPr>
          <w:rFonts w:ascii="Arial" w:cs="Arial" w:eastAsia="Arial" w:hAnsi="Arial"/>
          <w:b/>
          <w:bCs/>
          <w:color w:val="1B3A5C"/>
          <w:sz w:val="24"/>
          <w:szCs w:val="24"/>
        </w:rPr>
        <w:t xml:space="preserve">3.1 PACE Program Rate</w:t>
      </w:r>
    </w:p>
    <w:p>
      <w:pPr>
        <w:spacing w:before="80" w:after="80"/>
        <w:jc w:val="left"/>
      </w:pPr>
      <w:r>
        <w:rPr>
          <w:rFonts w:ascii="Arial" w:cs="Arial" w:eastAsia="Arial" w:hAnsi="Arial"/>
          <w:b/>
          <w:bCs/>
          <w:color w:val="333333"/>
          <w:sz w:val="20"/>
          <w:szCs w:val="20"/>
        </w:rPr>
        <w:t xml:space="preserve">Standard Rate: </w:t>
      </w:r>
      <w:r>
        <w:rPr>
          <w:rFonts w:ascii="Arial" w:cs="Arial" w:eastAsia="Arial" w:hAnsi="Arial"/>
          <w:color w:val="333333"/>
          <w:sz w:val="20"/>
          <w:szCs w:val="20"/>
        </w:rPr>
        <w:t xml:space="preserve">$149.99 per month per enrolled resident.</w:t>
      </w:r>
    </w:p>
    <w:p>
      <w:pPr>
        <w:spacing w:before="80" w:after="80"/>
        <w:jc w:val="left"/>
      </w:pPr>
      <w:r>
        <w:rPr>
          <w:rFonts w:ascii="Arial" w:cs="Arial" w:eastAsia="Arial" w:hAnsi="Arial"/>
          <w:b w:val="false"/>
          <w:bCs w:val="false"/>
          <w:i w:val="false"/>
          <w:iCs w:val="false"/>
          <w:color w:val="333333"/>
          <w:sz w:val="20"/>
          <w:szCs w:val="20"/>
        </w:rPr>
        <w:t xml:space="preserve">Typical contract terms: thirty-six (36) months, subject to negotiation via Order Form.</w:t>
      </w:r>
    </w:p>
    <w:p>
      <w:pPr>
        <w:pStyle w:val="Heading2"/>
        <w:spacing w:before="280" w:after="160"/>
      </w:pPr>
      <w:r>
        <w:rPr>
          <w:rFonts w:ascii="Arial" w:cs="Arial" w:eastAsia="Arial" w:hAnsi="Arial"/>
          <w:b/>
          <w:bCs/>
          <w:color w:val="1B3A5C"/>
          <w:sz w:val="24"/>
          <w:szCs w:val="24"/>
        </w:rPr>
        <w:t xml:space="preserve">3.2 What’s Included (PACE)</w:t>
      </w:r>
    </w:p>
    <w:p>
      <w:pPr>
        <w:pStyle w:val="ListParagraph"/>
        <w:numPr>
          <w:ilvl w:val="0"/>
          <w:numId w:val="2"/>
        </w:numPr>
        <w:spacing w:before="40" w:after="40"/>
      </w:pPr>
      <w:r>
        <w:rPr>
          <w:rFonts w:ascii="Arial" w:cs="Arial" w:eastAsia="Arial" w:hAnsi="Arial"/>
          <w:b w:val="false"/>
          <w:bCs w:val="false"/>
          <w:color w:val="333333"/>
          <w:sz w:val="20"/>
          <w:szCs w:val="20"/>
        </w:rPr>
        <w:t xml:space="preserve">Apple Watch / HealthKit integration (device-provided signals such as fall event notifications, activity and movement patterns, and other user-enabled health and safety signals; supported signals defined in Order Form / Product Documentation and may vary by activation ring)</w:t>
      </w:r>
    </w:p>
    <w:p>
      <w:pPr>
        <w:pStyle w:val="ListParagraph"/>
        <w:numPr>
          <w:ilvl w:val="0"/>
          <w:numId w:val="2"/>
        </w:numPr>
        <w:spacing w:before="40" w:after="40"/>
      </w:pPr>
      <w:r>
        <w:rPr>
          <w:rFonts w:ascii="Arial" w:cs="Arial" w:eastAsia="Arial" w:hAnsi="Arial"/>
          <w:b w:val="false"/>
          <w:bCs w:val="false"/>
          <w:color w:val="333333"/>
          <w:sz w:val="20"/>
          <w:szCs w:val="20"/>
        </w:rPr>
        <w:t xml:space="preserve">YoLink sensor monitoring (bathroom usage, motion detection, environmental monitoring)</w:t>
      </w:r>
    </w:p>
    <w:p>
      <w:pPr>
        <w:pStyle w:val="ListParagraph"/>
        <w:numPr>
          <w:ilvl w:val="0"/>
          <w:numId w:val="2"/>
        </w:numPr>
        <w:spacing w:before="40" w:after="40"/>
      </w:pPr>
      <w:r>
        <w:rPr>
          <w:rFonts w:ascii="Arial" w:cs="Arial" w:eastAsia="Arial" w:hAnsi="Arial"/>
          <w:b w:val="false"/>
          <w:bCs w:val="false"/>
          <w:color w:val="333333"/>
          <w:sz w:val="20"/>
          <w:szCs w:val="20"/>
        </w:rPr>
        <w:t xml:space="preserve">HERO pill dispenser integration (medication adherence, prescription management, timing alerts)</w:t>
      </w:r>
    </w:p>
    <w:p>
      <w:pPr>
        <w:pStyle w:val="ListParagraph"/>
        <w:numPr>
          <w:ilvl w:val="0"/>
          <w:numId w:val="2"/>
        </w:numPr>
        <w:spacing w:before="40" w:after="40"/>
      </w:pPr>
      <w:r>
        <w:rPr>
          <w:rFonts w:ascii="Arial" w:cs="Arial" w:eastAsia="Arial" w:hAnsi="Arial"/>
          <w:b w:val="false"/>
          <w:bCs w:val="false"/>
          <w:color w:val="333333"/>
          <w:sz w:val="20"/>
          <w:szCs w:val="20"/>
        </w:rPr>
        <w:t xml:space="preserve">Remote Home Check Dashboard with organizational administrator access</w:t>
      </w:r>
    </w:p>
    <w:p>
      <w:pPr>
        <w:pStyle w:val="ListParagraph"/>
        <w:numPr>
          <w:ilvl w:val="0"/>
          <w:numId w:val="2"/>
        </w:numPr>
        <w:spacing w:before="40" w:after="40"/>
      </w:pPr>
      <w:r>
        <w:rPr>
          <w:rFonts w:ascii="Arial" w:cs="Arial" w:eastAsia="Arial" w:hAnsi="Arial"/>
          <w:b w:val="false"/>
          <w:bCs w:val="false"/>
          <w:color w:val="333333"/>
          <w:sz w:val="20"/>
          <w:szCs w:val="20"/>
        </w:rPr>
        <w:t xml:space="preserve">Insight Score reporting across physical and mental health domains</w:t>
      </w:r>
    </w:p>
    <w:p>
      <w:pPr>
        <w:pStyle w:val="ListParagraph"/>
        <w:numPr>
          <w:ilvl w:val="0"/>
          <w:numId w:val="2"/>
        </w:numPr>
        <w:spacing w:before="40" w:after="40"/>
      </w:pPr>
      <w:r>
        <w:rPr>
          <w:rFonts w:ascii="Arial" w:cs="Arial" w:eastAsia="Arial" w:hAnsi="Arial"/>
          <w:b w:val="false"/>
          <w:bCs w:val="false"/>
          <w:color w:val="333333"/>
          <w:sz w:val="20"/>
          <w:szCs w:val="20"/>
        </w:rPr>
        <w:t xml:space="preserve">Real-time alerts with configurable escalation chains</w:t>
      </w:r>
    </w:p>
    <w:p>
      <w:pPr>
        <w:pStyle w:val="ListParagraph"/>
        <w:numPr>
          <w:ilvl w:val="0"/>
          <w:numId w:val="2"/>
        </w:numPr>
        <w:spacing w:before="40" w:after="40"/>
      </w:pPr>
      <w:r>
        <w:rPr>
          <w:rFonts w:ascii="Arial" w:cs="Arial" w:eastAsia="Arial" w:hAnsi="Arial"/>
          <w:b w:val="false"/>
          <w:bCs w:val="false"/>
          <w:color w:val="333333"/>
          <w:sz w:val="20"/>
          <w:szCs w:val="20"/>
        </w:rPr>
        <w:t xml:space="preserve">EMR/EHR integration</w:t>
      </w:r>
    </w:p>
    <w:p>
      <w:pPr>
        <w:pStyle w:val="ListParagraph"/>
        <w:numPr>
          <w:ilvl w:val="0"/>
          <w:numId w:val="2"/>
        </w:numPr>
        <w:spacing w:before="40" w:after="40"/>
      </w:pPr>
      <w:r>
        <w:rPr>
          <w:rFonts w:ascii="Arial" w:cs="Arial" w:eastAsia="Arial" w:hAnsi="Arial"/>
          <w:b w:val="false"/>
          <w:bCs w:val="false"/>
          <w:color w:val="333333"/>
          <w:sz w:val="20"/>
          <w:szCs w:val="20"/>
        </w:rPr>
        <w:t xml:space="preserve">Multi-resident management and reporting</w:t>
      </w:r>
    </w:p>
    <w:p>
      <w:pPr>
        <w:pStyle w:val="Heading2"/>
        <w:spacing w:before="280" w:after="160"/>
      </w:pPr>
      <w:r>
        <w:rPr>
          <w:rFonts w:ascii="Arial" w:cs="Arial" w:eastAsia="Arial" w:hAnsi="Arial"/>
          <w:b/>
          <w:bCs/>
          <w:color w:val="1B3A5C"/>
          <w:sz w:val="24"/>
          <w:szCs w:val="24"/>
        </w:rPr>
        <w:t xml:space="preserve">3.3 Volume and Term Discounts</w:t>
      </w:r>
    </w:p>
    <w:p>
      <w:pPr>
        <w:spacing w:before="80" w:after="80"/>
        <w:jc w:val="left"/>
      </w:pPr>
      <w:r>
        <w:rPr>
          <w:rFonts w:ascii="Arial" w:cs="Arial" w:eastAsia="Arial" w:hAnsi="Arial"/>
          <w:b w:val="false"/>
          <w:bCs w:val="false"/>
          <w:i w:val="false"/>
          <w:iCs w:val="false"/>
          <w:color w:val="333333"/>
          <w:sz w:val="20"/>
          <w:szCs w:val="20"/>
        </w:rPr>
        <w:t xml:space="preserve">Volume-based tier discounts and term-based discounts may be offered at RHC’s discretion and shall be documented in the applicable Order Form. Most-favored-nation pricing is expressly excluded.</w:t>
      </w:r>
    </w:p>
    <w:p>
      <w:pPr>
        <w:pStyle w:val="Heading2"/>
        <w:spacing w:before="280" w:after="160"/>
      </w:pPr>
      <w:r>
        <w:rPr>
          <w:rFonts w:ascii="Arial" w:cs="Arial" w:eastAsia="Arial" w:hAnsi="Arial"/>
          <w:b/>
          <w:bCs/>
          <w:color w:val="1B3A5C"/>
          <w:sz w:val="24"/>
          <w:szCs w:val="24"/>
        </w:rPr>
        <w:t xml:space="preserve">3.4 Price Protection</w:t>
      </w:r>
    </w:p>
    <w:p>
      <w:pPr>
        <w:pStyle w:val="ListParagraph"/>
        <w:numPr>
          <w:ilvl w:val="0"/>
          <w:numId w:val="2"/>
        </w:numPr>
        <w:spacing w:before="40" w:after="40"/>
      </w:pPr>
      <w:r>
        <w:rPr>
          <w:rFonts w:ascii="Arial" w:cs="Arial" w:eastAsia="Arial" w:hAnsi="Arial"/>
          <w:b/>
          <w:bCs/>
          <w:color w:val="333333"/>
          <w:sz w:val="20"/>
          <w:szCs w:val="20"/>
        </w:rPr>
        <w:t xml:space="preserve">≤ 200 residents: </w:t>
      </w:r>
      <w:r>
        <w:rPr>
          <w:rFonts w:ascii="Arial" w:cs="Arial" w:eastAsia="Arial" w:hAnsi="Arial"/>
          <w:color w:val="333333"/>
          <w:sz w:val="20"/>
          <w:szCs w:val="20"/>
        </w:rPr>
        <w:t xml:space="preserve">Annual increases capped at the greater of CPI or 5%.</w:t>
      </w:r>
    </w:p>
    <w:p>
      <w:pPr>
        <w:pStyle w:val="ListParagraph"/>
        <w:numPr>
          <w:ilvl w:val="0"/>
          <w:numId w:val="2"/>
        </w:numPr>
        <w:spacing w:before="40" w:after="40"/>
      </w:pPr>
      <w:r>
        <w:rPr>
          <w:rFonts w:ascii="Arial" w:cs="Arial" w:eastAsia="Arial" w:hAnsi="Arial"/>
          <w:b/>
          <w:bCs/>
          <w:color w:val="333333"/>
          <w:sz w:val="20"/>
          <w:szCs w:val="20"/>
        </w:rPr>
        <w:t xml:space="preserve">&gt; 200 residents: </w:t>
      </w:r>
      <w:r>
        <w:rPr>
          <w:rFonts w:ascii="Arial" w:cs="Arial" w:eastAsia="Arial" w:hAnsi="Arial"/>
          <w:color w:val="333333"/>
          <w:sz w:val="20"/>
          <w:szCs w:val="20"/>
        </w:rPr>
        <w:t xml:space="preserve">Annual increases capped at the greater of (CPI + 2%) or 7%.</w:t>
      </w:r>
    </w:p>
    <w:p>
      <w:pPr>
        <w:pStyle w:val="Heading1"/>
        <w:spacing w:before="360" w:after="200"/>
      </w:pPr>
      <w:r>
        <w:rPr>
          <w:rFonts w:ascii="Arial" w:cs="Arial" w:eastAsia="Arial" w:hAnsi="Arial"/>
          <w:b/>
          <w:bCs/>
          <w:color w:val="1B3A5C"/>
          <w:sz w:val="28"/>
          <w:szCs w:val="28"/>
        </w:rPr>
        <w:t xml:space="preserve">4. INVOICING AND PAYMENT</w:t>
      </w:r>
    </w:p>
    <w:p>
      <w:pPr>
        <w:spacing w:before="80" w:after="80"/>
        <w:jc w:val="left"/>
      </w:pPr>
      <w:r>
        <w:rPr>
          <w:rFonts w:ascii="Arial" w:cs="Arial" w:eastAsia="Arial" w:hAnsi="Arial"/>
          <w:b w:val="false"/>
          <w:bCs w:val="false"/>
          <w:i w:val="false"/>
          <w:iCs w:val="false"/>
          <w:color w:val="333333"/>
          <w:sz w:val="20"/>
          <w:szCs w:val="20"/>
        </w:rPr>
        <w:t xml:space="preserve">Unless otherwise specified in the Order Form: (a) invoices are issued monthly; (b) payment is due within thirty (30) days of invoice date; (c) late payments accrue interest at the lesser of 1.5% per month or the maximum rate permitted by law. Purchase order mechanics, if required, shall be specified in the Order Form.</w:t>
      </w:r>
    </w:p>
    <w:p>
      <w:pPr>
        <w:pStyle w:val="Heading1"/>
        <w:spacing w:before="360" w:after="200"/>
      </w:pPr>
      <w:r>
        <w:rPr>
          <w:rFonts w:ascii="Arial" w:cs="Arial" w:eastAsia="Arial" w:hAnsi="Arial"/>
          <w:b/>
          <w:bCs/>
          <w:color w:val="1B3A5C"/>
          <w:sz w:val="28"/>
          <w:szCs w:val="28"/>
        </w:rPr>
        <w:t xml:space="preserve">5. DEPLOYMENT AND ONBOARDING</w:t>
      </w:r>
    </w:p>
    <w:p>
      <w:pPr>
        <w:spacing w:before="80" w:after="80"/>
        <w:jc w:val="left"/>
      </w:pPr>
      <w:r>
        <w:rPr>
          <w:rFonts w:ascii="Arial" w:cs="Arial" w:eastAsia="Arial" w:hAnsi="Arial"/>
          <w:b w:val="false"/>
          <w:bCs w:val="false"/>
          <w:i w:val="false"/>
          <w:iCs w:val="false"/>
          <w:color w:val="333333"/>
          <w:sz w:val="20"/>
          <w:szCs w:val="20"/>
        </w:rPr>
        <w:t xml:space="preserve">RHC will work with the Organization to complete deployment according to the timeline specified in the Order Form. Deployment phases typically include: kickoff, pre-implementation, build and integration, testing and validation, go-live, and a 90-day support period. The Organization is responsible for designating a project lead, providing site access, and ensuring staff availability for training.</w:t>
      </w:r>
    </w:p>
    <w:p>
      <w:pPr>
        <w:pStyle w:val="Heading1"/>
        <w:spacing w:before="360" w:after="200"/>
      </w:pPr>
      <w:r>
        <w:rPr>
          <w:rFonts w:ascii="Arial" w:cs="Arial" w:eastAsia="Arial" w:hAnsi="Arial"/>
          <w:b/>
          <w:bCs/>
          <w:color w:val="1B3A5C"/>
          <w:sz w:val="28"/>
          <w:szCs w:val="28"/>
        </w:rPr>
        <w:t xml:space="preserve">6. SERVICE LEVELS</w:t>
      </w:r>
    </w:p>
    <w:p>
      <w:pPr>
        <w:spacing w:before="80" w:after="80"/>
        <w:jc w:val="left"/>
      </w:pPr>
      <w:r>
        <w:rPr>
          <w:rFonts w:ascii="Arial" w:cs="Arial" w:eastAsia="Arial" w:hAnsi="Arial"/>
          <w:b w:val="false"/>
          <w:bCs w:val="false"/>
          <w:i w:val="false"/>
          <w:iCs w:val="false"/>
          <w:color w:val="333333"/>
          <w:sz w:val="20"/>
          <w:szCs w:val="20"/>
        </w:rPr>
        <w:t xml:space="preserve">Organizational subscribers receive the uptime commitment, maintenance window protections, and service credit eligibility described in Section 9 of the Master Terms. Service credits are the sole and exclusive remedy for uptime failures. Pilot deployments are excluded from SLA commitments.</w:t>
      </w:r>
    </w:p>
    <w:p>
      <w:pPr>
        <w:pStyle w:val="Heading1"/>
        <w:spacing w:before="360" w:after="200"/>
      </w:pPr>
      <w:r>
        <w:rPr>
          <w:rFonts w:ascii="Arial" w:cs="Arial" w:eastAsia="Arial" w:hAnsi="Arial"/>
          <w:b/>
          <w:bCs/>
          <w:color w:val="1B3A5C"/>
          <w:sz w:val="28"/>
          <w:szCs w:val="28"/>
        </w:rPr>
        <w:t xml:space="preserve">7. MONITORING CENTER (OPTIONAL)</w:t>
      </w:r>
    </w:p>
    <w:p>
      <w:pPr>
        <w:spacing w:before="80" w:after="80"/>
        <w:jc w:val="left"/>
      </w:pPr>
      <w:r>
        <w:rPr>
          <w:rFonts w:ascii="Arial" w:cs="Arial" w:eastAsia="Arial" w:hAnsi="Arial"/>
          <w:b w:val="false"/>
          <w:bCs w:val="false"/>
          <w:i w:val="false"/>
          <w:iCs w:val="false"/>
          <w:color w:val="333333"/>
          <w:sz w:val="20"/>
          <w:szCs w:val="20"/>
        </w:rPr>
        <w:t xml:space="preserve">Monitoring center failover services are available only upon execution of a separate Monitoring Center Addendum (Exhibit G). The monitoring center partner (identified in the applicable Monitoring Center Addendum, Exhibit G) operates under its own terms. No monitoring center services are implied by this Addendum or any Order Form unless the Monitoring Center Addendum is explicitly activated.</w:t>
      </w:r>
    </w:p>
    <w:p>
      <w:pPr>
        <w:pStyle w:val="Heading1"/>
        <w:spacing w:before="360" w:after="200"/>
      </w:pPr>
      <w:r>
        <w:rPr>
          <w:rFonts w:ascii="Arial" w:cs="Arial" w:eastAsia="Arial" w:hAnsi="Arial"/>
          <w:b/>
          <w:bCs/>
          <w:color w:val="1B3A5C"/>
          <w:sz w:val="28"/>
          <w:szCs w:val="28"/>
        </w:rPr>
        <w:t xml:space="preserve">8. HIPAA / BUSINESS ASSOCIATE AGREEMENT</w:t>
      </w:r>
    </w:p>
    <w:p>
      <w:pPr>
        <w:spacing w:before="80" w:after="80"/>
        <w:jc w:val="left"/>
      </w:pPr>
      <w:r>
        <w:rPr>
          <w:rFonts w:ascii="Arial" w:cs="Arial" w:eastAsia="Arial" w:hAnsi="Arial"/>
          <w:b w:val="false"/>
          <w:bCs w:val="false"/>
          <w:i w:val="false"/>
          <w:iCs w:val="false"/>
          <w:color w:val="333333"/>
          <w:sz w:val="20"/>
          <w:szCs w:val="20"/>
        </w:rPr>
        <w:t xml:space="preserve">Where the Organization is a Covered Entity or Business Associate under HIPAA and RHC processes PHI on its behalf, the parties shall execute the HIPAA/BAA Exhibit (Exhibit H). The BAA governs all PHI handling, breach notification, and permitted uses. The BAA shall be executed prior to any PHI being transmitted to RHC.</w:t>
      </w:r>
    </w:p>
    <w:p>
      <w:pPr>
        <w:pStyle w:val="Heading1"/>
        <w:spacing w:before="360" w:after="200"/>
      </w:pPr>
      <w:r>
        <w:rPr>
          <w:rFonts w:ascii="Arial" w:cs="Arial" w:eastAsia="Arial" w:hAnsi="Arial"/>
          <w:b/>
          <w:bCs/>
          <w:color w:val="1B3A5C"/>
          <w:sz w:val="28"/>
          <w:szCs w:val="28"/>
        </w:rPr>
        <w:t xml:space="preserve">9. DATA USE AND DE-IDENTIFICATION</w:t>
      </w:r>
    </w:p>
    <w:p>
      <w:pPr>
        <w:spacing w:before="80" w:after="80"/>
        <w:jc w:val="left"/>
      </w:pPr>
      <w:r>
        <w:rPr>
          <w:rFonts w:ascii="Arial" w:cs="Arial" w:eastAsia="Arial" w:hAnsi="Arial"/>
          <w:b w:val="false"/>
          <w:bCs w:val="false"/>
          <w:i w:val="false"/>
          <w:iCs w:val="false"/>
          <w:color w:val="333333"/>
          <w:sz w:val="20"/>
          <w:szCs w:val="20"/>
        </w:rPr>
        <w:t xml:space="preserve">De-Identified and Aggregated Data use is enabled by default for platform improvement. Organizations may opt out by electing the opt-out provision in their Order Form. Opting out may reduce detection quality and pace of platform improvement. RHC does not sell Customer Data or Consumer Health Data.</w:t>
      </w:r>
    </w:p>
    <w:p>
      <w:pPr>
        <w:pStyle w:val="Heading1"/>
        <w:spacing w:before="360" w:after="200"/>
      </w:pPr>
      <w:r>
        <w:rPr>
          <w:rFonts w:ascii="Arial" w:cs="Arial" w:eastAsia="Arial" w:hAnsi="Arial"/>
          <w:b/>
          <w:bCs/>
          <w:color w:val="1B3A5C"/>
          <w:sz w:val="28"/>
          <w:szCs w:val="28"/>
        </w:rPr>
        <w:t xml:space="preserve">10. SECURITY AND AUDIT</w:t>
      </w:r>
    </w:p>
    <w:p>
      <w:pPr>
        <w:spacing w:before="80" w:after="80"/>
        <w:jc w:val="left"/>
      </w:pPr>
      <w:r>
        <w:rPr>
          <w:rFonts w:ascii="Arial" w:cs="Arial" w:eastAsia="Arial" w:hAnsi="Arial"/>
          <w:b w:val="false"/>
          <w:bCs w:val="false"/>
          <w:i w:val="false"/>
          <w:iCs w:val="false"/>
          <w:color w:val="333333"/>
          <w:sz w:val="20"/>
          <w:szCs w:val="20"/>
        </w:rPr>
        <w:t xml:space="preserve">Security controls are detailed in the Security Exhibit (Exhibit E). Organizational audit rights:</w:t>
      </w:r>
    </w:p>
    <w:p>
      <w:pPr>
        <w:pStyle w:val="ListParagraph"/>
        <w:numPr>
          <w:ilvl w:val="0"/>
          <w:numId w:val="2"/>
        </w:numPr>
        <w:spacing w:before="40" w:after="40"/>
      </w:pPr>
      <w:r>
        <w:rPr>
          <w:rFonts w:ascii="Arial" w:cs="Arial" w:eastAsia="Arial" w:hAnsi="Arial"/>
          <w:b/>
          <w:bCs/>
          <w:color w:val="333333"/>
          <w:sz w:val="20"/>
          <w:szCs w:val="20"/>
        </w:rPr>
        <w:t xml:space="preserve">≤ 200 residents: </w:t>
      </w:r>
      <w:r>
        <w:rPr>
          <w:rFonts w:ascii="Arial" w:cs="Arial" w:eastAsia="Arial" w:hAnsi="Arial"/>
          <w:color w:val="333333"/>
          <w:sz w:val="20"/>
          <w:szCs w:val="20"/>
        </w:rPr>
        <w:t xml:space="preserve">One (1) audit per year.</w:t>
      </w:r>
    </w:p>
    <w:p>
      <w:pPr>
        <w:pStyle w:val="ListParagraph"/>
        <w:numPr>
          <w:ilvl w:val="0"/>
          <w:numId w:val="2"/>
        </w:numPr>
        <w:spacing w:before="40" w:after="40"/>
      </w:pPr>
      <w:r>
        <w:rPr>
          <w:rFonts w:ascii="Arial" w:cs="Arial" w:eastAsia="Arial" w:hAnsi="Arial"/>
          <w:b/>
          <w:bCs/>
          <w:color w:val="333333"/>
          <w:sz w:val="20"/>
          <w:szCs w:val="20"/>
        </w:rPr>
        <w:t xml:space="preserve">&gt; 200 residents: </w:t>
      </w:r>
      <w:r>
        <w:rPr>
          <w:rFonts w:ascii="Arial" w:cs="Arial" w:eastAsia="Arial" w:hAnsi="Arial"/>
          <w:color w:val="333333"/>
          <w:sz w:val="20"/>
          <w:szCs w:val="20"/>
        </w:rPr>
        <w:t xml:space="preserve">Two (2) audits per year.</w:t>
      </w:r>
    </w:p>
    <w:p>
      <w:pPr>
        <w:spacing w:before="80" w:after="80"/>
        <w:jc w:val="left"/>
      </w:pPr>
      <w:r>
        <w:rPr>
          <w:rFonts w:ascii="Arial" w:cs="Arial" w:eastAsia="Arial" w:hAnsi="Arial"/>
          <w:b w:val="false"/>
          <w:bCs w:val="false"/>
          <w:i w:val="false"/>
          <w:iCs w:val="false"/>
          <w:color w:val="333333"/>
          <w:sz w:val="20"/>
          <w:szCs w:val="20"/>
        </w:rPr>
        <w:t xml:space="preserve">Audits are scoped, conducted during business hours, at the Organization’s expense, and subject to mutual NDA.</w:t>
      </w:r>
    </w:p>
    <w:p>
      <w:pPr>
        <w:pStyle w:val="Heading1"/>
        <w:spacing w:before="360" w:after="200"/>
      </w:pPr>
      <w:r>
        <w:rPr>
          <w:rFonts w:ascii="Arial" w:cs="Arial" w:eastAsia="Arial" w:hAnsi="Arial"/>
          <w:b/>
          <w:bCs/>
          <w:color w:val="1B3A5C"/>
          <w:sz w:val="28"/>
          <w:szCs w:val="28"/>
        </w:rPr>
        <w:t xml:space="preserve">11. INSURANCE</w:t>
      </w:r>
    </w:p>
    <w:p>
      <w:pPr>
        <w:spacing w:before="80" w:after="80"/>
        <w:jc w:val="left"/>
      </w:pPr>
      <w:r>
        <w:rPr>
          <w:rFonts w:ascii="Arial" w:cs="Arial" w:eastAsia="Arial" w:hAnsi="Arial"/>
          <w:b w:val="false"/>
          <w:bCs w:val="false"/>
          <w:i w:val="false"/>
          <w:iCs w:val="false"/>
          <w:color w:val="333333"/>
          <w:sz w:val="20"/>
          <w:szCs w:val="20"/>
        </w:rPr>
        <w:t xml:space="preserve">RHC maintains CGL, E&amp;O, and Cyber/Privacy liability insurance. Certificates of insurance provided within five (5) business days of written request. Additional insured status on CGL only, subject to carrier endorsement.</w:t>
      </w:r>
    </w:p>
    <w:p>
      <w:pPr>
        <w:pStyle w:val="Heading1"/>
        <w:spacing w:before="360" w:after="200"/>
      </w:pPr>
      <w:r>
        <w:rPr>
          <w:rFonts w:ascii="Arial" w:cs="Arial" w:eastAsia="Arial" w:hAnsi="Arial"/>
          <w:b/>
          <w:bCs/>
          <w:color w:val="1B3A5C"/>
          <w:sz w:val="28"/>
          <w:szCs w:val="28"/>
        </w:rPr>
        <w:t xml:space="preserve">12. IP INDEMNITY</w:t>
      </w:r>
    </w:p>
    <w:p>
      <w:pPr>
        <w:spacing w:before="80" w:after="80"/>
        <w:jc w:val="left"/>
      </w:pPr>
      <w:r>
        <w:rPr>
          <w:rFonts w:ascii="Arial" w:cs="Arial" w:eastAsia="Arial" w:hAnsi="Arial"/>
          <w:b w:val="false"/>
          <w:bCs w:val="false"/>
          <w:i w:val="false"/>
          <w:iCs w:val="false"/>
          <w:color w:val="333333"/>
          <w:sz w:val="20"/>
          <w:szCs w:val="20"/>
        </w:rPr>
        <w:t xml:space="preserve">RHC provides the IP infringement indemnity described in Section 13.3 of the Master Terms, subject to the exclusions stated therein.</w:t>
      </w:r>
    </w:p>
    <w:p>
      <w:pPr>
        <w:pStyle w:val="Heading1"/>
        <w:spacing w:before="360" w:after="200"/>
      </w:pPr>
      <w:r>
        <w:rPr>
          <w:rFonts w:ascii="Arial" w:cs="Arial" w:eastAsia="Arial" w:hAnsi="Arial"/>
          <w:b/>
          <w:bCs/>
          <w:color w:val="1B3A5C"/>
          <w:sz w:val="28"/>
          <w:szCs w:val="28"/>
        </w:rPr>
        <w:t xml:space="preserve">13. TERMINATION</w:t>
      </w:r>
    </w:p>
    <w:p>
      <w:pPr>
        <w:spacing w:before="80" w:after="80"/>
        <w:jc w:val="left"/>
      </w:pPr>
      <w:r>
        <w:rPr>
          <w:rFonts w:ascii="Arial" w:cs="Arial" w:eastAsia="Arial" w:hAnsi="Arial"/>
          <w:b w:val="false"/>
          <w:bCs w:val="false"/>
          <w:i w:val="false"/>
          <w:iCs w:val="false"/>
          <w:color w:val="333333"/>
          <w:sz w:val="20"/>
          <w:szCs w:val="20"/>
        </w:rPr>
        <w:t xml:space="preserve">Either party may terminate for material uncured breach (30-day notice and cure period). Upon termination: (a) access ceases; (b) hardware must be returned per Exhibit B; (c) data export is available for 30 days; (d) all outstanding fees become due.</w:t>
      </w:r>
    </w:p>
    <w:p>
      <w:pPr>
        <w:pStyle w:val="Heading1"/>
        <w:spacing w:before="360" w:after="200"/>
      </w:pPr>
      <w:r>
        <w:rPr>
          <w:rFonts w:ascii="Arial" w:cs="Arial" w:eastAsia="Arial" w:hAnsi="Arial"/>
          <w:b/>
          <w:bCs/>
          <w:color w:val="1B3A5C"/>
          <w:sz w:val="28"/>
          <w:szCs w:val="28"/>
        </w:rPr>
        <w:t xml:space="preserve">14. DISPUTE RESOLUTION</w:t>
      </w:r>
    </w:p>
    <w:p>
      <w:pPr>
        <w:spacing w:before="80" w:after="80"/>
        <w:jc w:val="left"/>
      </w:pPr>
      <w:r>
        <w:rPr>
          <w:rFonts w:ascii="Arial" w:cs="Arial" w:eastAsia="Arial" w:hAnsi="Arial"/>
          <w:b w:val="false"/>
          <w:bCs w:val="false"/>
          <w:i w:val="false"/>
          <w:iCs w:val="false"/>
          <w:color w:val="333333"/>
          <w:sz w:val="20"/>
          <w:szCs w:val="20"/>
        </w:rPr>
        <w:t xml:space="preserve">Disputes follow the B2B escalation process in Section 18.2 of the Master Terms: account manager negotiation (15 business days), senior management escalation (15 additional business days), then litigation. Governing law: Georgia. Venue: Fulton County, Georgia, unless overridden by Order Form.</w:t>
      </w:r>
    </w:p>
    <w:p>
      <w:pPr>
        <w:pBdr>
          <w:top w:val="single" w:color="2E75B6" w:sz="2" w:space="8"/>
        </w:pBdr>
        <w:spacing w:before="400" w:after="200"/>
        <w:jc w:val="center"/>
      </w:pPr>
      <w:r>
        <w:rPr>
          <w:rFonts w:ascii="Arial" w:cs="Arial" w:eastAsia="Arial" w:hAnsi="Arial"/>
          <w:b/>
          <w:bCs/>
          <w:color w:val="1B3A5C"/>
          <w:sz w:val="20"/>
          <w:szCs w:val="20"/>
        </w:rPr>
        <w:t xml:space="preserve">[END OF ORGANIZATION ADDENDUM]</w:t>
      </w: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REMOTE HOME CHECK, LLC</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Jeffrey Hill</w:t>
      </w:r>
    </w:p>
    <w:p>
      <w:pPr>
        <w:spacing w:before="80" w:after="80"/>
        <w:jc w:val="left"/>
      </w:pPr>
      <w:r>
        <w:rPr>
          <w:rFonts w:ascii="Arial" w:cs="Arial" w:eastAsia="Arial" w:hAnsi="Arial"/>
          <w:b w:val="false"/>
          <w:bCs w:val="false"/>
          <w:i w:val="false"/>
          <w:iCs w:val="false"/>
          <w:color w:val="333333"/>
          <w:sz w:val="20"/>
          <w:szCs w:val="20"/>
        </w:rPr>
        <w:t xml:space="preserve">Title: Chief Executive Officer</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p>
      <w:pPr>
        <w:spacing w:before="40" w:after="40"/>
      </w:pPr>
    </w:p>
    <w:p>
      <w:pPr>
        <w:spacing w:before="40" w:after="40"/>
      </w:pPr>
    </w:p>
    <w:p>
      <w:pPr>
        <w:spacing w:before="40" w:after="40"/>
      </w:pPr>
    </w:p>
    <w:p>
      <w:pPr>
        <w:spacing w:before="80" w:after="80"/>
        <w:jc w:val="left"/>
      </w:pPr>
      <w:r>
        <w:rPr>
          <w:rFonts w:ascii="Arial" w:cs="Arial" w:eastAsia="Arial" w:hAnsi="Arial"/>
          <w:b/>
          <w:bCs/>
          <w:color w:val="333333"/>
          <w:sz w:val="22"/>
          <w:szCs w:val="22"/>
        </w:rPr>
        <w:t xml:space="preserve">CUSTOMER / ORGANIZATION</w:t>
      </w:r>
    </w:p>
    <w:p>
      <w:pPr>
        <w:spacing w:before="40" w:after="40"/>
      </w:pPr>
    </w:p>
    <w:p>
      <w:pPr>
        <w:spacing w:before="80" w:after="80"/>
        <w:jc w:val="left"/>
      </w:pPr>
      <w:r>
        <w:rPr>
          <w:rFonts w:ascii="Arial" w:cs="Arial" w:eastAsia="Arial" w:hAnsi="Arial"/>
          <w:b w:val="false"/>
          <w:bCs w:val="false"/>
          <w:i w:val="false"/>
          <w:iCs w:val="false"/>
          <w:color w:val="333333"/>
          <w:sz w:val="20"/>
          <w:szCs w:val="20"/>
        </w:rPr>
        <w:t xml:space="preserve">By: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Name: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Title: ________________________________________</w:t>
      </w:r>
    </w:p>
    <w:p>
      <w:pPr>
        <w:spacing w:before="80" w:after="80"/>
        <w:jc w:val="left"/>
      </w:pPr>
      <w:r>
        <w:rPr>
          <w:rFonts w:ascii="Arial" w:cs="Arial" w:eastAsia="Arial" w:hAnsi="Arial"/>
          <w:b w:val="false"/>
          <w:bCs w:val="false"/>
          <w:i w:val="false"/>
          <w:iCs w:val="false"/>
          <w:color w:val="333333"/>
          <w:sz w:val="20"/>
          <w:szCs w:val="20"/>
        </w:rPr>
        <w:t xml:space="preserve">Date: ________________________________________</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1" w:space="4"/>
      </w:pBdr>
      <w:tabs>
        <w:tab w:val="right" w:pos="9026"/>
      </w:tabs>
    </w:pPr>
    <w:r>
      <w:rPr>
        <w:rFonts w:ascii="Arial" w:cs="Arial" w:eastAsia="Arial" w:hAnsi="Arial"/>
        <w:color w:val="666666"/>
        <w:sz w:val="14"/>
        <w:szCs w:val="14"/>
      </w:rPr>
      <w:t xml:space="preserve">Remote Home Check, LLC</w:t>
    </w:r>
    <w:r>
      <w:rPr>
        <w:rFonts w:ascii="Arial" w:cs="Arial" w:eastAsia="Arial" w:hAnsi="Arial"/>
        <w:color w:val="666666"/>
        <w:sz w:val="14"/>
        <w:szCs w:val="14"/>
      </w:rPr>
      <w:t xml:space="preserve">	Page </w:t>
    </w:r>
    <w:r>
      <w:rPr>
        <w:rFonts w:ascii="Arial" w:cs="Arial" w:eastAsia="Arial" w:hAnsi="Arial"/>
        <w:color w:val="666666"/>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i/>
        <w:iCs/>
        <w:color w:val="666666"/>
        <w:sz w:val="16"/>
        <w:szCs w:val="16"/>
      </w:rPr>
      <w:t xml:space="preserve">RHC — Organization Addendum (B2B) v1.0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lowerLetter"/>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333333"/>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200"/>
      <w:outlineLvl w:val="0"/>
    </w:pPr>
    <w:rPr>
      <w:rFonts w:ascii="Arial" w:cs="Arial" w:eastAsia="Arial" w:hAnsi="Arial"/>
      <w:b/>
      <w:bCs/>
      <w:color w:val="1B3A5C"/>
      <w:sz w:val="28"/>
      <w:szCs w:val="28"/>
    </w:rPr>
  </w:style>
  <w:style w:type="paragraph" w:styleId="Heading2">
    <w:name w:val="Heading 2"/>
    <w:basedOn w:val="Normal"/>
    <w:next w:val="Normal"/>
    <w:qFormat/>
    <w:pPr>
      <w:spacing w:before="280" w:after="160"/>
      <w:outlineLvl w:val="1"/>
    </w:pPr>
    <w:rPr>
      <w:rFonts w:ascii="Arial" w:cs="Arial" w:eastAsia="Arial" w:hAnsi="Arial"/>
      <w:b/>
      <w:bCs/>
      <w:color w:val="1B3A5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2026-02-28T02:51:20.301Z</dcterms:created>
  <dcterms:modified xsi:type="dcterms:W3CDTF">2026-02-28T02:51:20.301Z</dcterms:modified>
</cp:coreProperties>
</file>

<file path=docProps/custom.xml><?xml version="1.0" encoding="utf-8"?>
<Properties xmlns="http://schemas.openxmlformats.org/officeDocument/2006/custom-properties" xmlns:vt="http://schemas.openxmlformats.org/officeDocument/2006/docPropsVTypes"/>
</file>