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G: Monitoring Center Addendum</w:t>
      </w:r>
    </w:p>
    <w:p>
      <w:pPr>
        <w:spacing w:after="40"/>
        <w:jc w:val="center"/>
      </w:pPr>
      <w:r>
        <w:rPr>
          <w:rFonts w:ascii="Arial" w:cs="Arial" w:eastAsia="Arial" w:hAnsi="Arial"/>
          <w:b/>
          <w:bCs/>
          <w:color w:val="CC0000"/>
          <w:sz w:val="22"/>
          <w:szCs w:val="22"/>
        </w:rPr>
        <w:t xml:space="preserve">STATUS: INACTIVE — Framework Only</w:t>
      </w:r>
    </w:p>
    <w:p>
      <w:pPr>
        <w:jc w:val="center"/>
      </w:pPr>
      <w:r>
        <w:rPr>
          <w:rFonts w:ascii="Arial" w:cs="Arial" w:eastAsia="Arial" w:hAnsi="Arial"/>
          <w:i/>
          <w:iCs/>
          <w:color w:val="666666"/>
          <w:sz w:val="18"/>
          <w:szCs w:val="18"/>
        </w:rPr>
        <w:t xml:space="preserve">This Addendum takes effect ONLY upon separate execution by both parties.</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PURPOSE AND ACTIVATION</w:t>
      </w:r>
    </w:p>
    <w:p>
      <w:pPr>
        <w:spacing w:before="80" w:after="80"/>
        <w:jc w:val="left"/>
      </w:pPr>
      <w:r>
        <w:rPr>
          <w:rFonts w:ascii="Arial" w:cs="Arial" w:eastAsia="Arial" w:hAnsi="Arial"/>
          <w:b w:val="false"/>
          <w:bCs w:val="false"/>
          <w:i w:val="false"/>
          <w:iCs w:val="false"/>
          <w:color w:val="333333"/>
          <w:sz w:val="20"/>
          <w:szCs w:val="20"/>
        </w:rPr>
        <w:t xml:space="preserve">This Monitoring Center Addendum governs the provision of UL-certified central station monitoring services in connection with the Remote Home Check platform. This Addendum is INACTIVE by default and takes effect only when: (a) both parties have executed this Addendum; (b) operational readiness has been validated by RHC; and (c) the monitoring center partner has confirmed capacity and availability.</w:t>
      </w:r>
    </w:p>
    <w:p>
      <w:pPr>
        <w:spacing w:before="80" w:after="80"/>
        <w:jc w:val="left"/>
      </w:pPr>
      <w:r>
        <w:rPr>
          <w:rFonts w:ascii="Arial" w:cs="Arial" w:eastAsia="Arial" w:hAnsi="Arial"/>
          <w:b w:val="false"/>
          <w:bCs w:val="false"/>
          <w:i w:val="false"/>
          <w:iCs w:val="false"/>
          <w:color w:val="333333"/>
          <w:sz w:val="20"/>
          <w:szCs w:val="20"/>
        </w:rPr>
        <w:t xml:space="preserve">No monitoring center services are implied by the Master Terms, Consumer Addendum, or Organization Addendum absent execution of this Addendum.</w:t>
      </w:r>
    </w:p>
    <w:p>
      <w:pPr>
        <w:pStyle w:val="Heading1"/>
        <w:spacing w:before="360" w:after="200"/>
      </w:pPr>
      <w:r>
        <w:rPr>
          <w:rFonts w:ascii="Arial" w:cs="Arial" w:eastAsia="Arial" w:hAnsi="Arial"/>
          <w:b/>
          <w:bCs/>
          <w:color w:val="1B3A5C"/>
          <w:sz w:val="28"/>
          <w:szCs w:val="28"/>
        </w:rPr>
        <w:t xml:space="preserve">2. MONITORING CENTER PARTNER</w:t>
      </w:r>
    </w:p>
    <w:p>
      <w:pPr>
        <w:spacing w:before="80" w:after="80"/>
        <w:jc w:val="left"/>
      </w:pPr>
      <w:r>
        <w:rPr>
          <w:rFonts w:ascii="Arial" w:cs="Arial" w:eastAsia="Arial" w:hAnsi="Arial"/>
          <w:b/>
          <w:bCs/>
          <w:color w:val="333333"/>
          <w:sz w:val="20"/>
          <w:szCs w:val="20"/>
        </w:rPr>
        <w:t xml:space="preserve">Current Partner: </w:t>
      </w:r>
      <w:r>
        <w:rPr>
          <w:rFonts w:ascii="Arial" w:cs="Arial" w:eastAsia="Arial" w:hAnsi="Arial"/>
          <w:color w:val="333333"/>
          <w:sz w:val="20"/>
          <w:szCs w:val="20"/>
        </w:rPr>
        <w:t xml:space="preserve">Clear Partners, LLC (or its permitted affiliate or successor) (“Monitoring Partner”). UL certification is represented by the Monitoring Partner and confirmed by RHC at activation.</w:t>
      </w:r>
    </w:p>
    <w:p>
      <w:pPr>
        <w:spacing w:before="80" w:after="80"/>
        <w:jc w:val="left"/>
      </w:pPr>
      <w:r>
        <w:rPr>
          <w:rFonts w:ascii="Arial" w:cs="Arial" w:eastAsia="Arial" w:hAnsi="Arial"/>
          <w:b w:val="false"/>
          <w:bCs w:val="false"/>
          <w:i w:val="false"/>
          <w:iCs w:val="false"/>
          <w:color w:val="333333"/>
          <w:sz w:val="20"/>
          <w:szCs w:val="20"/>
        </w:rPr>
        <w:t xml:space="preserve">The monitoring center partner operates as a third-party service provider under its own terms of service, regulatory licenses, and operational protocols. RHC facilitates the connection and exercises commercially reasonable care in selecting and overseeing the monitoring center partner.</w:t>
      </w:r>
    </w:p>
    <w:p>
      <w:pPr>
        <w:pStyle w:val="Heading1"/>
        <w:spacing w:before="360" w:after="200"/>
      </w:pPr>
      <w:r>
        <w:rPr>
          <w:rFonts w:ascii="Arial" w:cs="Arial" w:eastAsia="Arial" w:hAnsi="Arial"/>
          <w:b/>
          <w:bCs/>
          <w:color w:val="1B3A5C"/>
          <w:sz w:val="28"/>
          <w:szCs w:val="28"/>
        </w:rPr>
        <w:t xml:space="preserve">3. ALERT ESCALATION CHAIN</w:t>
      </w:r>
    </w:p>
    <w:p>
      <w:pPr>
        <w:spacing w:before="80" w:after="80"/>
        <w:jc w:val="left"/>
      </w:pPr>
      <w:r>
        <w:rPr>
          <w:rFonts w:ascii="Arial" w:cs="Arial" w:eastAsia="Arial" w:hAnsi="Arial"/>
          <w:b w:val="false"/>
          <w:bCs w:val="false"/>
          <w:i w:val="false"/>
          <w:iCs w:val="false"/>
          <w:color w:val="333333"/>
          <w:sz w:val="20"/>
          <w:szCs w:val="20"/>
        </w:rPr>
        <w:t xml:space="preserve">When activated, the alert failover follows this escalation chain:</w:t>
      </w:r>
    </w:p>
    <w:p>
      <w:pPr>
        <w:pStyle w:val="ListParagraph"/>
        <w:numPr>
          <w:ilvl w:val="0"/>
          <w:numId w:val="2"/>
        </w:numPr>
        <w:spacing w:before="40" w:after="40"/>
      </w:pPr>
      <w:r>
        <w:rPr>
          <w:rFonts w:ascii="Arial" w:cs="Arial" w:eastAsia="Arial" w:hAnsi="Arial"/>
          <w:b w:val="false"/>
          <w:bCs w:val="false"/>
          <w:color w:val="333333"/>
          <w:sz w:val="20"/>
          <w:szCs w:val="20"/>
        </w:rPr>
        <w:t xml:space="preserve">Step 1: Real-time alert sent to designated family members/caregivers via the dashboard, push notification, SMS, and/or voice call</w:t>
      </w:r>
    </w:p>
    <w:p>
      <w:pPr>
        <w:pStyle w:val="ListParagraph"/>
        <w:numPr>
          <w:ilvl w:val="0"/>
          <w:numId w:val="2"/>
        </w:numPr>
        <w:spacing w:before="40" w:after="40"/>
      </w:pPr>
      <w:r>
        <w:rPr>
          <w:rFonts w:ascii="Arial" w:cs="Arial" w:eastAsia="Arial" w:hAnsi="Arial"/>
          <w:b w:val="false"/>
          <w:bCs w:val="false"/>
          <w:color w:val="333333"/>
          <w:sz w:val="20"/>
          <w:szCs w:val="20"/>
        </w:rPr>
        <w:t xml:space="preserve">Step 2: If no response within the configured time window, alert escalates through additional designated contacts</w:t>
      </w:r>
    </w:p>
    <w:p>
      <w:pPr>
        <w:pStyle w:val="ListParagraph"/>
        <w:numPr>
          <w:ilvl w:val="0"/>
          <w:numId w:val="2"/>
        </w:numPr>
        <w:spacing w:before="40" w:after="40"/>
      </w:pPr>
      <w:r>
        <w:rPr>
          <w:rFonts w:ascii="Arial" w:cs="Arial" w:eastAsia="Arial" w:hAnsi="Arial"/>
          <w:b w:val="false"/>
          <w:bCs w:val="false"/>
          <w:color w:val="333333"/>
          <w:sz w:val="20"/>
          <w:szCs w:val="20"/>
        </w:rPr>
        <w:t xml:space="preserve">Step 3: If no response from any designated contact, alert fails over to the UL-certified central station monitoring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Step 4: Monitoring center assesses the situation and dispatches appropriate emergency services if warranted</w:t>
      </w:r>
    </w:p>
    <w:p>
      <w:pPr>
        <w:spacing w:before="80" w:after="80"/>
        <w:jc w:val="left"/>
      </w:pPr>
      <w:r>
        <w:rPr>
          <w:rFonts w:ascii="Arial" w:cs="Arial" w:eastAsia="Arial" w:hAnsi="Arial"/>
          <w:b w:val="false"/>
          <w:bCs w:val="false"/>
          <w:i w:val="false"/>
          <w:iCs w:val="false"/>
          <w:color w:val="333333"/>
          <w:sz w:val="20"/>
          <w:szCs w:val="20"/>
        </w:rPr>
        <w:t xml:space="preserve">Response time windows and escalation triggers are configured during onboarding and may be adjusted through the dashboard.</w:t>
      </w:r>
    </w:p>
    <w:p>
      <w:pPr>
        <w:pStyle w:val="Heading1"/>
        <w:spacing w:before="360" w:after="200"/>
      </w:pPr>
      <w:r>
        <w:rPr>
          <w:rFonts w:ascii="Arial" w:cs="Arial" w:eastAsia="Arial" w:hAnsi="Arial"/>
          <w:b/>
          <w:bCs/>
          <w:color w:val="1B3A5C"/>
          <w:sz w:val="28"/>
          <w:szCs w:val="28"/>
        </w:rPr>
        <w:t xml:space="preserve">4. SCOPE OF MONITORING</w:t>
      </w:r>
    </w:p>
    <w:p>
      <w:pPr>
        <w:spacing w:before="80" w:after="80"/>
        <w:jc w:val="left"/>
      </w:pPr>
      <w:r>
        <w:rPr>
          <w:rFonts w:ascii="Arial" w:cs="Arial" w:eastAsia="Arial" w:hAnsi="Arial"/>
          <w:b w:val="false"/>
          <w:bCs w:val="false"/>
          <w:i w:val="false"/>
          <w:iCs w:val="false"/>
          <w:color w:val="333333"/>
          <w:sz w:val="20"/>
          <w:szCs w:val="20"/>
        </w:rPr>
        <w:t xml:space="preserve">The monitoring center provides:</w:t>
      </w:r>
    </w:p>
    <w:p>
      <w:pPr>
        <w:pStyle w:val="ListParagraph"/>
        <w:numPr>
          <w:ilvl w:val="0"/>
          <w:numId w:val="2"/>
        </w:numPr>
        <w:spacing w:before="40" w:after="40"/>
      </w:pPr>
      <w:r>
        <w:rPr>
          <w:rFonts w:ascii="Arial" w:cs="Arial" w:eastAsia="Arial" w:hAnsi="Arial"/>
          <w:b w:val="false"/>
          <w:bCs w:val="false"/>
          <w:color w:val="333333"/>
          <w:sz w:val="20"/>
          <w:szCs w:val="20"/>
        </w:rPr>
        <w:t xml:space="preserve">24/7 availability for failover alerts</w:t>
      </w:r>
    </w:p>
    <w:p>
      <w:pPr>
        <w:pStyle w:val="ListParagraph"/>
        <w:numPr>
          <w:ilvl w:val="0"/>
          <w:numId w:val="2"/>
        </w:numPr>
        <w:spacing w:before="40" w:after="40"/>
      </w:pPr>
      <w:r>
        <w:rPr>
          <w:rFonts w:ascii="Arial" w:cs="Arial" w:eastAsia="Arial" w:hAnsi="Arial"/>
          <w:b w:val="false"/>
          <w:bCs w:val="false"/>
          <w:color w:val="333333"/>
          <w:sz w:val="20"/>
          <w:szCs w:val="20"/>
        </w:rPr>
        <w:t xml:space="preserve">Trained operators to assess incoming alerts</w:t>
      </w:r>
    </w:p>
    <w:p>
      <w:pPr>
        <w:pStyle w:val="ListParagraph"/>
        <w:numPr>
          <w:ilvl w:val="0"/>
          <w:numId w:val="2"/>
        </w:numPr>
        <w:spacing w:before="40" w:after="40"/>
      </w:pPr>
      <w:r>
        <w:rPr>
          <w:rFonts w:ascii="Arial" w:cs="Arial" w:eastAsia="Arial" w:hAnsi="Arial"/>
          <w:b w:val="false"/>
          <w:bCs w:val="false"/>
          <w:color w:val="333333"/>
          <w:sz w:val="20"/>
          <w:szCs w:val="20"/>
        </w:rPr>
        <w:t xml:space="preserve">Emergency service dispatch when appropriate</w:t>
      </w:r>
    </w:p>
    <w:p>
      <w:pPr>
        <w:pStyle w:val="ListParagraph"/>
        <w:numPr>
          <w:ilvl w:val="0"/>
          <w:numId w:val="2"/>
        </w:numPr>
        <w:spacing w:before="40" w:after="40"/>
      </w:pPr>
      <w:r>
        <w:rPr>
          <w:rFonts w:ascii="Arial" w:cs="Arial" w:eastAsia="Arial" w:hAnsi="Arial"/>
          <w:b w:val="false"/>
          <w:bCs w:val="false"/>
          <w:color w:val="333333"/>
          <w:sz w:val="20"/>
          <w:szCs w:val="20"/>
        </w:rPr>
        <w:t xml:space="preserve">Event documentation and reporting</w:t>
      </w:r>
    </w:p>
    <w:p>
      <w:pPr>
        <w:spacing w:before="80" w:after="80"/>
        <w:jc w:val="left"/>
      </w:pPr>
      <w:r>
        <w:rPr>
          <w:rFonts w:ascii="Arial" w:cs="Arial" w:eastAsia="Arial" w:hAnsi="Arial"/>
          <w:b w:val="false"/>
          <w:bCs w:val="false"/>
          <w:i w:val="false"/>
          <w:iCs w:val="false"/>
          <w:color w:val="333333"/>
          <w:sz w:val="20"/>
          <w:szCs w:val="20"/>
        </w:rPr>
        <w:t xml:space="preserve">The monitoring center does NOT provide:</w:t>
      </w:r>
    </w:p>
    <w:p>
      <w:pPr>
        <w:pStyle w:val="ListParagraph"/>
        <w:numPr>
          <w:ilvl w:val="0"/>
          <w:numId w:val="2"/>
        </w:numPr>
        <w:spacing w:before="40" w:after="40"/>
      </w:pPr>
      <w:r>
        <w:rPr>
          <w:rFonts w:ascii="Arial" w:cs="Arial" w:eastAsia="Arial" w:hAnsi="Arial"/>
          <w:b w:val="false"/>
          <w:bCs w:val="false"/>
          <w:color w:val="333333"/>
          <w:sz w:val="20"/>
          <w:szCs w:val="20"/>
        </w:rPr>
        <w:t xml:space="preserve">Medical advice or clinical decision-making</w:t>
      </w:r>
    </w:p>
    <w:p>
      <w:pPr>
        <w:pStyle w:val="ListParagraph"/>
        <w:numPr>
          <w:ilvl w:val="0"/>
          <w:numId w:val="2"/>
        </w:numPr>
        <w:spacing w:before="40" w:after="40"/>
      </w:pPr>
      <w:r>
        <w:rPr>
          <w:rFonts w:ascii="Arial" w:cs="Arial" w:eastAsia="Arial" w:hAnsi="Arial"/>
          <w:b w:val="false"/>
          <w:bCs w:val="false"/>
          <w:color w:val="333333"/>
          <w:sz w:val="20"/>
          <w:szCs w:val="20"/>
        </w:rPr>
        <w:t xml:space="preserve">On-site response or physical intervention</w:t>
      </w:r>
    </w:p>
    <w:p>
      <w:pPr>
        <w:pStyle w:val="ListParagraph"/>
        <w:numPr>
          <w:ilvl w:val="0"/>
          <w:numId w:val="2"/>
        </w:numPr>
        <w:spacing w:before="40" w:after="40"/>
      </w:pPr>
      <w:r>
        <w:rPr>
          <w:rFonts w:ascii="Arial" w:cs="Arial" w:eastAsia="Arial" w:hAnsi="Arial"/>
          <w:b w:val="false"/>
          <w:bCs w:val="false"/>
          <w:color w:val="333333"/>
          <w:sz w:val="20"/>
          <w:szCs w:val="20"/>
        </w:rPr>
        <w:t xml:space="preserve">Guaranteed response times beyond the monitoring center partner’s own SLA</w:t>
      </w:r>
    </w:p>
    <w:p>
      <w:pPr>
        <w:pStyle w:val="Heading1"/>
        <w:spacing w:before="360" w:after="200"/>
      </w:pPr>
      <w:r>
        <w:rPr>
          <w:rFonts w:ascii="Arial" w:cs="Arial" w:eastAsia="Arial" w:hAnsi="Arial"/>
          <w:b/>
          <w:bCs/>
          <w:color w:val="1B3A5C"/>
          <w:sz w:val="28"/>
          <w:szCs w:val="28"/>
        </w:rPr>
        <w:t xml:space="preserve">5. LIABILITY ALLOCATION</w:t>
      </w:r>
    </w:p>
    <w:p>
      <w:pPr>
        <w:spacing w:before="80" w:after="80"/>
        <w:jc w:val="left"/>
      </w:pPr>
      <w:r>
        <w:rPr>
          <w:rFonts w:ascii="Arial" w:cs="Arial" w:eastAsia="Arial" w:hAnsi="Arial"/>
          <w:b w:val="false"/>
          <w:bCs w:val="false"/>
          <w:i w:val="false"/>
          <w:iCs w:val="false"/>
          <w:color w:val="333333"/>
          <w:sz w:val="20"/>
          <w:szCs w:val="20"/>
        </w:rPr>
        <w:t xml:space="preserve">RHC’s responsibility is limited to: (a) maintaining the technical connection between the platform and the monitoring center; and (b) transmitting alert data accurately. The monitoring center partner is independently responsible for its own response actions, dispatch decisions, and regulatory compliance.</w:t>
      </w:r>
    </w:p>
    <w:p>
      <w:pPr>
        <w:spacing w:before="80" w:after="80"/>
        <w:jc w:val="left"/>
      </w:pPr>
      <w:r>
        <w:rPr>
          <w:rFonts w:ascii="Arial" w:cs="Arial" w:eastAsia="Arial" w:hAnsi="Arial"/>
          <w:b w:val="false"/>
          <w:bCs w:val="false"/>
          <w:i w:val="false"/>
          <w:iCs w:val="false"/>
          <w:color w:val="333333"/>
          <w:sz w:val="20"/>
          <w:szCs w:val="20"/>
        </w:rPr>
        <w:t xml:space="preserve">RHC’s liability for monitoring center services is limited to the Company’s duty of care in selecting, onboarding, and maintaining the technical connection to the monitoring center partner. RHC shall not be liable for: (a) the monitoring center partner’s independent response actions, dispatch decisions, or regulatory compliance failures; (b) failures of telecommunications infrastructure outside the Company’s control; (c) delays caused by inaccurate contact information provided by the Customer; or (d) situations where the monitoring center is unable to reach the senior or emergency services. For the avoidance of doubt, RHC’s aggregate liability for claims arising from monitoring center services shall not exceed the liability caps set forth in Section 14 of the Master Terms of Service.</w:t>
      </w:r>
    </w:p>
    <w:p>
      <w:pPr>
        <w:pStyle w:val="Heading1"/>
        <w:spacing w:before="360" w:after="200"/>
      </w:pPr>
      <w:r>
        <w:rPr>
          <w:rFonts w:ascii="Arial" w:cs="Arial" w:eastAsia="Arial" w:hAnsi="Arial"/>
          <w:b/>
          <w:bCs/>
          <w:color w:val="1B3A5C"/>
          <w:sz w:val="28"/>
          <w:szCs w:val="28"/>
        </w:rPr>
        <w:t xml:space="preserve">6. ADDITIONAL FEES</w:t>
      </w:r>
    </w:p>
    <w:p>
      <w:pPr>
        <w:spacing w:before="80" w:after="80"/>
        <w:jc w:val="left"/>
      </w:pPr>
      <w:r>
        <w:rPr>
          <w:rFonts w:ascii="Arial" w:cs="Arial" w:eastAsia="Arial" w:hAnsi="Arial"/>
          <w:b w:val="false"/>
          <w:bCs w:val="false"/>
          <w:i w:val="false"/>
          <w:iCs w:val="false"/>
          <w:color w:val="333333"/>
          <w:sz w:val="20"/>
          <w:szCs w:val="20"/>
        </w:rPr>
        <w:t xml:space="preserve">Monitoring center services may involve additional fees beyond the standard subscription rate. Any additional fees shall be specified in the applicable Order Form or this Addendum at the time of activation.</w:t>
      </w:r>
    </w:p>
    <w:p>
      <w:pPr>
        <w:pStyle w:val="Heading1"/>
        <w:spacing w:before="360" w:after="200"/>
      </w:pPr>
      <w:r>
        <w:rPr>
          <w:rFonts w:ascii="Arial" w:cs="Arial" w:eastAsia="Arial" w:hAnsi="Arial"/>
          <w:b/>
          <w:bCs/>
          <w:color w:val="1B3A5C"/>
          <w:sz w:val="28"/>
          <w:szCs w:val="28"/>
        </w:rPr>
        <w:t xml:space="preserve">7. DEACTIVATION</w:t>
      </w:r>
    </w:p>
    <w:p>
      <w:pPr>
        <w:spacing w:before="80" w:after="80"/>
        <w:jc w:val="left"/>
      </w:pPr>
      <w:r>
        <w:rPr>
          <w:rFonts w:ascii="Arial" w:cs="Arial" w:eastAsia="Arial" w:hAnsi="Arial"/>
          <w:b w:val="false"/>
          <w:bCs w:val="false"/>
          <w:i w:val="false"/>
          <w:iCs w:val="false"/>
          <w:color w:val="333333"/>
          <w:sz w:val="20"/>
          <w:szCs w:val="20"/>
        </w:rPr>
        <w:t xml:space="preserve">Either party may deactivate monitoring center services with thirty (30) days’ written notice. Upon deactivation, alert escalation will terminate at the family/caregiver level and will not fail over to the monitoring center.</w:t>
      </w:r>
    </w:p>
    <w:p>
      <w:pPr>
        <w:pBdr>
          <w:top w:val="single" w:color="2E75B6" w:sz="2" w:space="8"/>
        </w:pBdr>
        <w:spacing w:before="400" w:after="200"/>
        <w:jc w:val="center"/>
      </w:pPr>
      <w:r>
        <w:rPr>
          <w:rFonts w:ascii="Arial" w:cs="Arial" w:eastAsia="Arial" w:hAnsi="Arial"/>
          <w:b/>
          <w:bCs/>
          <w:color w:val="1B3A5C"/>
          <w:sz w:val="20"/>
          <w:szCs w:val="20"/>
        </w:rPr>
        <w:t xml:space="preserve">[END OF MONITORING CENTER ADDENDUM]</w:t>
      </w: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REMOTE HOME CHECK, LLC</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Jeffrey Hill</w:t>
      </w:r>
    </w:p>
    <w:p>
      <w:pPr>
        <w:spacing w:before="80" w:after="80"/>
        <w:jc w:val="left"/>
      </w:pPr>
      <w:r>
        <w:rPr>
          <w:rFonts w:ascii="Arial" w:cs="Arial" w:eastAsia="Arial" w:hAnsi="Arial"/>
          <w:b w:val="false"/>
          <w:bCs w:val="false"/>
          <w:i w:val="false"/>
          <w:iCs w:val="false"/>
          <w:color w:val="333333"/>
          <w:sz w:val="20"/>
          <w:szCs w:val="20"/>
        </w:rPr>
        <w:t xml:space="preserve">Title: Chief Executive Officer</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CUSTOMER / ORGANIZATION</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Title: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G: Monitoring Center Addendum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2026-02-28T02:51:20.688Z</dcterms:created>
  <dcterms:modified xsi:type="dcterms:W3CDTF">2026-02-28T02:51:20.688Z</dcterms:modified>
</cp:coreProperties>
</file>

<file path=docProps/custom.xml><?xml version="1.0" encoding="utf-8"?>
<Properties xmlns="http://schemas.openxmlformats.org/officeDocument/2006/custom-properties" xmlns:vt="http://schemas.openxmlformats.org/officeDocument/2006/docPropsVTypes"/>
</file>