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Exhibit F: Pilot Agreement</w:t>
      </w:r>
    </w:p>
    <w:p>
      <w:pPr>
        <w:pBdr>
          <w:bottom w:val="single" w:color="2E75B6" w:sz="2" w:space="4"/>
        </w:pBdr>
        <w:spacing w:before="200" w:after="200"/>
      </w:pPr>
    </w:p>
    <w:p>
      <w:pPr>
        <w:pStyle w:val="Heading1"/>
        <w:spacing w:before="360" w:after="200"/>
      </w:pPr>
      <w:r>
        <w:rPr>
          <w:rFonts w:ascii="Arial" w:cs="Arial" w:eastAsia="Arial" w:hAnsi="Arial"/>
          <w:b/>
          <w:bCs/>
          <w:color w:val="1B3A5C"/>
          <w:sz w:val="28"/>
          <w:szCs w:val="28"/>
        </w:rPr>
        <w:t xml:space="preserve">1. PURPOSE</w:t>
      </w:r>
    </w:p>
    <w:p>
      <w:pPr>
        <w:spacing w:before="80" w:after="80"/>
        <w:jc w:val="left"/>
      </w:pPr>
      <w:r>
        <w:rPr>
          <w:rFonts w:ascii="Arial" w:cs="Arial" w:eastAsia="Arial" w:hAnsi="Arial"/>
          <w:b w:val="false"/>
          <w:bCs w:val="false"/>
          <w:i w:val="false"/>
          <w:iCs w:val="false"/>
          <w:color w:val="333333"/>
          <w:sz w:val="20"/>
          <w:szCs w:val="20"/>
        </w:rPr>
        <w:t xml:space="preserve">This Pilot Agreement governs the evaluation deployment of the Remote Home Check Services between RHC and the participating organization (“Pilot Partner”). The pilot enables the Pilot Partner to evaluate the Services in a real-world environment before committing to a full commercial subscription.</w:t>
      </w:r>
    </w:p>
    <w:p>
      <w:pPr>
        <w:pStyle w:val="Heading1"/>
        <w:spacing w:before="360" w:after="200"/>
      </w:pPr>
      <w:r>
        <w:rPr>
          <w:rFonts w:ascii="Arial" w:cs="Arial" w:eastAsia="Arial" w:hAnsi="Arial"/>
          <w:b/>
          <w:bCs/>
          <w:color w:val="1B3A5C"/>
          <w:sz w:val="28"/>
          <w:szCs w:val="28"/>
        </w:rPr>
        <w:t xml:space="preserve">2. PILOT PARAMETERS</w:t>
      </w:r>
    </w:p>
    <w:p>
      <w:pPr>
        <w:spacing w:before="80" w:after="80"/>
        <w:jc w:val="left"/>
      </w:pPr>
      <w:r>
        <w:rPr>
          <w:rFonts w:ascii="Arial" w:cs="Arial" w:eastAsia="Arial" w:hAnsi="Arial"/>
          <w:b w:val="false"/>
          <w:bCs w:val="false"/>
          <w:i w:val="false"/>
          <w:iCs w:val="false"/>
          <w:color w:val="333333"/>
          <w:sz w:val="20"/>
          <w:szCs w:val="20"/>
        </w:rPr>
        <w:t xml:space="preserve">The following parameters shall be specified for each pilot engagement:</w:t>
      </w:r>
    </w:p>
    <w:p>
      <w:pPr>
        <w:pStyle w:val="ListParagraph"/>
        <w:numPr>
          <w:ilvl w:val="0"/>
          <w:numId w:val="2"/>
        </w:numPr>
        <w:spacing w:before="40" w:after="40"/>
      </w:pPr>
      <w:r>
        <w:rPr>
          <w:rFonts w:ascii="Arial" w:cs="Arial" w:eastAsia="Arial" w:hAnsi="Arial"/>
          <w:b/>
          <w:bCs/>
          <w:color w:val="333333"/>
          <w:sz w:val="20"/>
          <w:szCs w:val="20"/>
        </w:rPr>
        <w:t xml:space="preserve">Duration: </w:t>
      </w:r>
      <w:r>
        <w:rPr>
          <w:rFonts w:ascii="Arial" w:cs="Arial" w:eastAsia="Arial" w:hAnsi="Arial"/>
          <w:color w:val="333333"/>
          <w:sz w:val="20"/>
          <w:szCs w:val="20"/>
        </w:rPr>
        <w:t xml:space="preserve">As specified in the applicable Pilot Order Form.</w:t>
      </w:r>
    </w:p>
    <w:p>
      <w:pPr>
        <w:pStyle w:val="ListParagraph"/>
        <w:numPr>
          <w:ilvl w:val="0"/>
          <w:numId w:val="2"/>
        </w:numPr>
        <w:spacing w:before="40" w:after="40"/>
      </w:pPr>
      <w:r>
        <w:rPr>
          <w:rFonts w:ascii="Arial" w:cs="Arial" w:eastAsia="Arial" w:hAnsi="Arial"/>
          <w:b/>
          <w:bCs/>
          <w:color w:val="333333"/>
          <w:sz w:val="20"/>
          <w:szCs w:val="20"/>
        </w:rPr>
        <w:t xml:space="preserve">Scope: </w:t>
      </w:r>
      <w:r>
        <w:rPr>
          <w:rFonts w:ascii="Arial" w:cs="Arial" w:eastAsia="Arial" w:hAnsi="Arial"/>
          <w:color w:val="333333"/>
          <w:sz w:val="20"/>
          <w:szCs w:val="20"/>
        </w:rPr>
        <w:t xml:space="preserve">As specified in the applicable Pilot Order Form.</w:t>
      </w:r>
    </w:p>
    <w:p>
      <w:pPr>
        <w:pStyle w:val="ListParagraph"/>
        <w:numPr>
          <w:ilvl w:val="0"/>
          <w:numId w:val="2"/>
        </w:numPr>
        <w:spacing w:before="40" w:after="40"/>
      </w:pPr>
      <w:r>
        <w:rPr>
          <w:rFonts w:ascii="Arial" w:cs="Arial" w:eastAsia="Arial" w:hAnsi="Arial"/>
          <w:b/>
          <w:bCs/>
          <w:color w:val="333333"/>
          <w:sz w:val="20"/>
          <w:szCs w:val="20"/>
        </w:rPr>
        <w:t xml:space="preserve">Features: </w:t>
      </w:r>
      <w:r>
        <w:rPr>
          <w:rFonts w:ascii="Arial" w:cs="Arial" w:eastAsia="Arial" w:hAnsi="Arial"/>
          <w:color w:val="333333"/>
          <w:sz w:val="20"/>
          <w:szCs w:val="20"/>
        </w:rPr>
        <w:t xml:space="preserve">Ring 1 feature set as described in Section 3.3 of the Master Terms, unless otherwise specified.</w:t>
      </w:r>
    </w:p>
    <w:p>
      <w:pPr>
        <w:pStyle w:val="ListParagraph"/>
        <w:numPr>
          <w:ilvl w:val="0"/>
          <w:numId w:val="2"/>
        </w:numPr>
        <w:spacing w:before="40" w:after="40"/>
      </w:pPr>
      <w:r>
        <w:rPr>
          <w:rFonts w:ascii="Arial" w:cs="Arial" w:eastAsia="Arial" w:hAnsi="Arial"/>
          <w:b/>
          <w:bCs/>
          <w:color w:val="333333"/>
          <w:sz w:val="20"/>
          <w:szCs w:val="20"/>
        </w:rPr>
        <w:t xml:space="preserve">Pricing: </w:t>
      </w:r>
      <w:r>
        <w:rPr>
          <w:rFonts w:ascii="Arial" w:cs="Arial" w:eastAsia="Arial" w:hAnsi="Arial"/>
          <w:color w:val="333333"/>
          <w:sz w:val="20"/>
          <w:szCs w:val="20"/>
        </w:rPr>
        <w:t xml:space="preserve">As specified in the applicable Pilot Order Form.</w:t>
      </w:r>
    </w:p>
    <w:p>
      <w:pPr>
        <w:pStyle w:val="ListParagraph"/>
        <w:numPr>
          <w:ilvl w:val="0"/>
          <w:numId w:val="2"/>
        </w:numPr>
        <w:spacing w:before="40" w:after="40"/>
      </w:pPr>
      <w:r>
        <w:rPr>
          <w:rFonts w:ascii="Arial" w:cs="Arial" w:eastAsia="Arial" w:hAnsi="Arial"/>
          <w:b/>
          <w:bCs/>
          <w:color w:val="333333"/>
          <w:sz w:val="20"/>
          <w:szCs w:val="20"/>
        </w:rPr>
        <w:t xml:space="preserve">Pilot Lead (RHC): </w:t>
      </w:r>
      <w:r>
        <w:rPr>
          <w:rFonts w:ascii="Arial" w:cs="Arial" w:eastAsia="Arial" w:hAnsi="Arial"/>
          <w:color w:val="333333"/>
          <w:sz w:val="20"/>
          <w:szCs w:val="20"/>
        </w:rPr>
        <w:t xml:space="preserve">As specified in the applicable Pilot Order Form</w:t>
      </w:r>
    </w:p>
    <w:p>
      <w:pPr>
        <w:pStyle w:val="ListParagraph"/>
        <w:numPr>
          <w:ilvl w:val="0"/>
          <w:numId w:val="2"/>
        </w:numPr>
        <w:spacing w:before="40" w:after="40"/>
      </w:pPr>
      <w:r>
        <w:rPr>
          <w:rFonts w:ascii="Arial" w:cs="Arial" w:eastAsia="Arial" w:hAnsi="Arial"/>
          <w:b/>
          <w:bCs/>
          <w:color w:val="333333"/>
          <w:sz w:val="20"/>
          <w:szCs w:val="20"/>
        </w:rPr>
        <w:t xml:space="preserve">Pilot Lead (Partner): </w:t>
      </w:r>
      <w:r>
        <w:rPr>
          <w:rFonts w:ascii="Arial" w:cs="Arial" w:eastAsia="Arial" w:hAnsi="Arial"/>
          <w:color w:val="333333"/>
          <w:sz w:val="20"/>
          <w:szCs w:val="20"/>
        </w:rPr>
        <w:t xml:space="preserve">As specified in the applicable Pilot Order Form</w:t>
      </w:r>
    </w:p>
    <w:p>
      <w:pPr>
        <w:pStyle w:val="Heading1"/>
        <w:spacing w:before="360" w:after="200"/>
      </w:pPr>
      <w:r>
        <w:rPr>
          <w:rFonts w:ascii="Arial" w:cs="Arial" w:eastAsia="Arial" w:hAnsi="Arial"/>
          <w:b/>
          <w:bCs/>
          <w:color w:val="1B3A5C"/>
          <w:sz w:val="28"/>
          <w:szCs w:val="28"/>
        </w:rPr>
        <w:t xml:space="preserve">3. SERVICE POSTURE DURING PILOT</w:t>
      </w:r>
    </w:p>
    <w:p>
      <w:pPr>
        <w:spacing w:before="80" w:after="80"/>
        <w:jc w:val="left"/>
      </w:pPr>
      <w:r>
        <w:rPr>
          <w:rFonts w:ascii="Arial" w:cs="Arial" w:eastAsia="Arial" w:hAnsi="Arial"/>
          <w:b/>
          <w:bCs/>
          <w:i w:val="false"/>
          <w:iCs w:val="false"/>
          <w:color w:val="333333"/>
          <w:sz w:val="20"/>
          <w:szCs w:val="20"/>
        </w:rPr>
        <w:t xml:space="preserve">DURING THE PILOT PERIOD, THE SERVICES ARE PROVIDED “AS IS” AND “AS AVAILABLE.” NO UPTIME COMMITMENT, SERVICE LEVEL AGREEMENT, OR SERVICE CREDITS APPLY DURING THE PILOT. RHC WILL USE COMMERCIALLY REASONABLE EFFORTS TO MAINTAIN AVAILABILITY BUT DOES NOT GUARANTEE UNINTERRUPTED SERVICE.</w:t>
      </w:r>
    </w:p>
    <w:p>
      <w:pPr>
        <w:spacing w:before="80" w:after="80"/>
        <w:jc w:val="left"/>
      </w:pPr>
      <w:r>
        <w:rPr>
          <w:rFonts w:ascii="Arial" w:cs="Arial" w:eastAsia="Arial" w:hAnsi="Arial"/>
          <w:b w:val="false"/>
          <w:bCs w:val="false"/>
          <w:i w:val="false"/>
          <w:iCs w:val="false"/>
          <w:color w:val="333333"/>
          <w:sz w:val="20"/>
          <w:szCs w:val="20"/>
        </w:rPr>
        <w:t xml:space="preserve">All disclaimers and limitations of liability in the Master Terms apply during the pilot, including the decision-support-only posture and the exclusion of medical advice, diagnosis, treatment, and emergency response.</w:t>
      </w:r>
    </w:p>
    <w:p>
      <w:pPr>
        <w:pStyle w:val="Heading1"/>
        <w:spacing w:before="360" w:after="200"/>
      </w:pPr>
      <w:r>
        <w:rPr>
          <w:rFonts w:ascii="Arial" w:cs="Arial" w:eastAsia="Arial" w:hAnsi="Arial"/>
          <w:b/>
          <w:bCs/>
          <w:color w:val="1B3A5C"/>
          <w:sz w:val="28"/>
          <w:szCs w:val="28"/>
        </w:rPr>
        <w:t xml:space="preserve">4. CONVERSION TO COMMERCIAL SUBSCRIPTION</w:t>
      </w:r>
    </w:p>
    <w:p>
      <w:pPr>
        <w:pStyle w:val="Heading2"/>
        <w:spacing w:before="280" w:after="160"/>
      </w:pPr>
      <w:r>
        <w:rPr>
          <w:rFonts w:ascii="Arial" w:cs="Arial" w:eastAsia="Arial" w:hAnsi="Arial"/>
          <w:b/>
          <w:bCs/>
          <w:color w:val="1B3A5C"/>
          <w:sz w:val="24"/>
          <w:szCs w:val="24"/>
        </w:rPr>
        <w:t xml:space="preserve">4.1 Conversion Trigger</w:t>
      </w:r>
    </w:p>
    <w:p>
      <w:pPr>
        <w:spacing w:before="80" w:after="80"/>
        <w:jc w:val="left"/>
      </w:pPr>
      <w:r>
        <w:rPr>
          <w:rFonts w:ascii="Arial" w:cs="Arial" w:eastAsia="Arial" w:hAnsi="Arial"/>
          <w:b w:val="false"/>
          <w:bCs w:val="false"/>
          <w:i w:val="false"/>
          <w:iCs w:val="false"/>
          <w:color w:val="333333"/>
          <w:sz w:val="20"/>
          <w:szCs w:val="20"/>
        </w:rPr>
        <w:t xml:space="preserve">Conversion to a commercial subscription is triggered by the earliest of: (a) the Pilot Partner’s execution of an Order Form; (b) the Pilot Partner’s issuance of a Purchase Order referencing the Services; or (c) thirty (30) days after RHC delivers a written pilot completion report, unless the Pilot Partner provides written notice of non-conversion within that period. If none of these triggers occur by the end of the pilot period, the pilot expires and Section 4.3 (Non-Conversion) applies.</w:t>
      </w:r>
    </w:p>
    <w:p>
      <w:pPr>
        <w:pStyle w:val="Heading2"/>
        <w:spacing w:before="280" w:after="160"/>
      </w:pPr>
      <w:r>
        <w:rPr>
          <w:rFonts w:ascii="Arial" w:cs="Arial" w:eastAsia="Arial" w:hAnsi="Arial"/>
          <w:b/>
          <w:bCs/>
          <w:color w:val="1B3A5C"/>
          <w:sz w:val="24"/>
          <w:szCs w:val="24"/>
        </w:rPr>
        <w:t xml:space="preserve">4.2 Transition</w:t>
      </w:r>
    </w:p>
    <w:p>
      <w:pPr>
        <w:spacing w:before="80" w:after="80"/>
        <w:jc w:val="left"/>
      </w:pPr>
      <w:r>
        <w:rPr>
          <w:rFonts w:ascii="Arial" w:cs="Arial" w:eastAsia="Arial" w:hAnsi="Arial"/>
          <w:b w:val="false"/>
          <w:bCs w:val="false"/>
          <w:i w:val="false"/>
          <w:iCs w:val="false"/>
          <w:color w:val="333333"/>
          <w:sz w:val="20"/>
          <w:szCs w:val="20"/>
        </w:rPr>
        <w:t xml:space="preserve">Upon conversion: (a) pilot-specific terms cease; (b) the Organization Addendum and standard Master Terms govern; (c) any negotiated pricing or terms are documented in the Order Form; and (d) all data collected during the pilot transitions to the commercial account.</w:t>
      </w:r>
    </w:p>
    <w:p>
      <w:pPr>
        <w:pStyle w:val="Heading2"/>
        <w:spacing w:before="280" w:after="160"/>
      </w:pPr>
      <w:r>
        <w:rPr>
          <w:rFonts w:ascii="Arial" w:cs="Arial" w:eastAsia="Arial" w:hAnsi="Arial"/>
          <w:b/>
          <w:bCs/>
          <w:color w:val="1B3A5C"/>
          <w:sz w:val="24"/>
          <w:szCs w:val="24"/>
        </w:rPr>
        <w:t xml:space="preserve">4.3 Non-Conversion</w:t>
      </w:r>
    </w:p>
    <w:p>
      <w:pPr>
        <w:spacing w:before="80" w:after="80"/>
        <w:jc w:val="left"/>
      </w:pPr>
      <w:r>
        <w:rPr>
          <w:rFonts w:ascii="Arial" w:cs="Arial" w:eastAsia="Arial" w:hAnsi="Arial"/>
          <w:b w:val="false"/>
          <w:bCs w:val="false"/>
          <w:i w:val="false"/>
          <w:iCs w:val="false"/>
          <w:color w:val="333333"/>
          <w:sz w:val="20"/>
          <w:szCs w:val="20"/>
        </w:rPr>
        <w:t xml:space="preserve">If the Pilot Partner elects not to convert: (a) access to the Services will be discontinued at the end of the pilot period; (b) hardware must be returned within fifteen (15) business days per Exhibit B; (c) pilot data will be available for export for thirty (30) days, then deleted per Section 17 of the Master Terms.</w:t>
      </w:r>
    </w:p>
    <w:p>
      <w:pPr>
        <w:pStyle w:val="Heading1"/>
        <w:spacing w:before="360" w:after="200"/>
      </w:pPr>
      <w:r>
        <w:rPr>
          <w:rFonts w:ascii="Arial" w:cs="Arial" w:eastAsia="Arial" w:hAnsi="Arial"/>
          <w:b/>
          <w:bCs/>
          <w:color w:val="1B3A5C"/>
          <w:sz w:val="28"/>
          <w:szCs w:val="28"/>
        </w:rPr>
        <w:t xml:space="preserve">5. PILOT LIABILITY CAP</w:t>
      </w:r>
    </w:p>
    <w:p>
      <w:pPr>
        <w:spacing w:before="80" w:after="80"/>
        <w:jc w:val="left"/>
      </w:pPr>
      <w:r>
        <w:rPr>
          <w:rFonts w:ascii="Arial" w:cs="Arial" w:eastAsia="Arial" w:hAnsi="Arial"/>
          <w:b w:val="false"/>
          <w:bCs w:val="false"/>
          <w:i w:val="false"/>
          <w:iCs w:val="false"/>
          <w:color w:val="333333"/>
          <w:sz w:val="20"/>
          <w:szCs w:val="20"/>
        </w:rPr>
        <w:t xml:space="preserve">During the pilot period, RHC’s total aggregate liability shall not exceed the total fees paid by the Pilot Partner during the pilot period or ten thousand dollars ($10,000), whichever is greater. This cap applies in addition to the general disclaimers and limitations in Section 14 of the Master Terms.</w:t>
      </w:r>
    </w:p>
    <w:p>
      <w:pPr>
        <w:pStyle w:val="Heading1"/>
        <w:spacing w:before="360" w:after="200"/>
      </w:pPr>
      <w:r>
        <w:rPr>
          <w:rFonts w:ascii="Arial" w:cs="Arial" w:eastAsia="Arial" w:hAnsi="Arial"/>
          <w:b/>
          <w:bCs/>
          <w:color w:val="1B3A5C"/>
          <w:sz w:val="28"/>
          <w:szCs w:val="28"/>
        </w:rPr>
        <w:t xml:space="preserve">6. DATA HANDLING</w:t>
      </w:r>
    </w:p>
    <w:p>
      <w:pPr>
        <w:spacing w:before="80" w:after="80"/>
        <w:jc w:val="left"/>
      </w:pPr>
      <w:r>
        <w:rPr>
          <w:rFonts w:ascii="Arial" w:cs="Arial" w:eastAsia="Arial" w:hAnsi="Arial"/>
          <w:b w:val="false"/>
          <w:bCs w:val="false"/>
          <w:i w:val="false"/>
          <w:iCs w:val="false"/>
          <w:color w:val="333333"/>
          <w:sz w:val="20"/>
          <w:szCs w:val="20"/>
        </w:rPr>
        <w:t xml:space="preserve">Customer Data collected during the pilot is governed by Section 11 of the Master Terms and the Privacy Policy. PHI handling requires execution of the HIPAA/BAA Exhibit (Exhibit H) prior to any PHI transmission. De-Identified Data generated during the pilot may be retained by RHC for platform improvement, subject to the opt-out provisions in the Master Terms.</w:t>
      </w:r>
    </w:p>
    <w:p>
      <w:pPr>
        <w:pStyle w:val="Heading1"/>
        <w:spacing w:before="360" w:after="200"/>
      </w:pPr>
      <w:r>
        <w:rPr>
          <w:rFonts w:ascii="Arial" w:cs="Arial" w:eastAsia="Arial" w:hAnsi="Arial"/>
          <w:b/>
          <w:bCs/>
          <w:color w:val="1B3A5C"/>
          <w:sz w:val="28"/>
          <w:szCs w:val="28"/>
        </w:rPr>
        <w:t xml:space="preserve">7. FEEDBACK AND EVALUATION</w:t>
      </w:r>
    </w:p>
    <w:p>
      <w:pPr>
        <w:spacing w:before="80" w:after="80"/>
        <w:jc w:val="left"/>
      </w:pPr>
      <w:r>
        <w:rPr>
          <w:rFonts w:ascii="Arial" w:cs="Arial" w:eastAsia="Arial" w:hAnsi="Arial"/>
          <w:b w:val="false"/>
          <w:bCs w:val="false"/>
          <w:i w:val="false"/>
          <w:iCs w:val="false"/>
          <w:color w:val="333333"/>
          <w:sz w:val="20"/>
          <w:szCs w:val="20"/>
        </w:rPr>
        <w:t xml:space="preserve">The Pilot Partner agrees to participate in reasonable evaluation activities, including providing feedback on platform performance, usability, and clinical workflow integration. Feedback provided to RHC becomes the property of RHC for product improvement purposes.</w:t>
      </w:r>
    </w:p>
    <w:p>
      <w:pPr>
        <w:pStyle w:val="Heading1"/>
        <w:spacing w:before="360" w:after="200"/>
      </w:pPr>
      <w:r>
        <w:rPr>
          <w:rFonts w:ascii="Arial" w:cs="Arial" w:eastAsia="Arial" w:hAnsi="Arial"/>
          <w:b/>
          <w:bCs/>
          <w:color w:val="1B3A5C"/>
          <w:sz w:val="28"/>
          <w:szCs w:val="28"/>
        </w:rPr>
        <w:t xml:space="preserve">8. CONFIDENTIALITY</w:t>
      </w:r>
    </w:p>
    <w:p>
      <w:pPr>
        <w:spacing w:before="80" w:after="80"/>
        <w:jc w:val="left"/>
      </w:pPr>
      <w:r>
        <w:rPr>
          <w:rFonts w:ascii="Arial" w:cs="Arial" w:eastAsia="Arial" w:hAnsi="Arial"/>
          <w:b w:val="false"/>
          <w:bCs w:val="false"/>
          <w:i w:val="false"/>
          <w:iCs w:val="false"/>
          <w:color w:val="333333"/>
          <w:sz w:val="20"/>
          <w:szCs w:val="20"/>
        </w:rPr>
        <w:t xml:space="preserve">Both parties agree to maintain the confidentiality of the pilot results, data, and terms. Neither party shall issue press releases or public statements about the pilot without prior written consent of the other party.</w:t>
      </w:r>
    </w:p>
    <w:p>
      <w:pPr>
        <w:pStyle w:val="Heading1"/>
        <w:spacing w:before="360" w:after="200"/>
      </w:pPr>
      <w:r>
        <w:rPr>
          <w:rFonts w:ascii="Arial" w:cs="Arial" w:eastAsia="Arial" w:hAnsi="Arial"/>
          <w:b/>
          <w:bCs/>
          <w:color w:val="1B3A5C"/>
          <w:sz w:val="28"/>
          <w:szCs w:val="28"/>
        </w:rPr>
        <w:t xml:space="preserve">9. TERMINATION</w:t>
      </w:r>
    </w:p>
    <w:p>
      <w:pPr>
        <w:spacing w:before="80" w:after="80"/>
        <w:jc w:val="left"/>
      </w:pPr>
      <w:r>
        <w:rPr>
          <w:rFonts w:ascii="Arial" w:cs="Arial" w:eastAsia="Arial" w:hAnsi="Arial"/>
          <w:b w:val="false"/>
          <w:bCs w:val="false"/>
          <w:i w:val="false"/>
          <w:iCs w:val="false"/>
          <w:color w:val="333333"/>
          <w:sz w:val="20"/>
          <w:szCs w:val="20"/>
        </w:rPr>
        <w:t xml:space="preserve">Either party may terminate the pilot at any time with fourteen (14) days’ written notice. Upon early termination, the provisions of Section 4.3 (Non-Conversion) apply.</w:t>
      </w:r>
    </w:p>
    <w:p>
      <w:pPr>
        <w:pBdr>
          <w:top w:val="single" w:color="2E75B6" w:sz="2" w:space="8"/>
        </w:pBdr>
        <w:spacing w:before="400" w:after="200"/>
        <w:jc w:val="center"/>
      </w:pPr>
      <w:r>
        <w:rPr>
          <w:rFonts w:ascii="Arial" w:cs="Arial" w:eastAsia="Arial" w:hAnsi="Arial"/>
          <w:b/>
          <w:bCs/>
          <w:color w:val="1B3A5C"/>
          <w:sz w:val="20"/>
          <w:szCs w:val="20"/>
        </w:rPr>
        <w:t xml:space="preserve">[END OF PILOT AGREEMENT]</w:t>
      </w: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REMOTE HOME CHECK, LLC</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Jeffrey Hill</w:t>
      </w:r>
    </w:p>
    <w:p>
      <w:pPr>
        <w:spacing w:before="80" w:after="80"/>
        <w:jc w:val="left"/>
      </w:pPr>
      <w:r>
        <w:rPr>
          <w:rFonts w:ascii="Arial" w:cs="Arial" w:eastAsia="Arial" w:hAnsi="Arial"/>
          <w:b w:val="false"/>
          <w:bCs w:val="false"/>
          <w:i w:val="false"/>
          <w:iCs w:val="false"/>
          <w:color w:val="333333"/>
          <w:sz w:val="20"/>
          <w:szCs w:val="20"/>
        </w:rPr>
        <w:t xml:space="preserve">Title: Chief Executive Officer</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p>
      <w:pPr>
        <w:spacing w:before="40" w:after="40"/>
      </w:pP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CUSTOMER / ORGANIZATION</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Title: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Exhibit F: Pilot Agreement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2026-02-28T02:51:20.625Z</dcterms:created>
  <dcterms:modified xsi:type="dcterms:W3CDTF">2026-02-28T02:51:20.625Z</dcterms:modified>
</cp:coreProperties>
</file>

<file path=docProps/custom.xml><?xml version="1.0" encoding="utf-8"?>
<Properties xmlns="http://schemas.openxmlformats.org/officeDocument/2006/custom-properties" xmlns:vt="http://schemas.openxmlformats.org/officeDocument/2006/docPropsVTypes"/>
</file>