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REMOTE HOME CHECK, LLC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Exhibit D: Subprocessor 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Last Updated: March 1, 2026</w:t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1. SUBPROCESSORS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following vendors process Customer Data on the Company’s behalf in connection with providing the Services. RHC maintains DPAs with Subprocessors and, where PHI is transmitted to a Subprocessor and a BAA is available, a BAA. RHC configures workflows to avoid transmitting PHI to vendors that do not offer BAAs.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1.1 PHI / Consumer Health Data Subprocessors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These vendors may process identifiable health-related data: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37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Vendor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Categories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Google Cloud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Hosting, storage, logs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Customer Data, health signals, platform logs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Snowflake [not active at launch]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Data warehouse, analytics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Aggregated health data, analytics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Twilio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SMS/voice communications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Alert metadata (no PHI in message content)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ElevenLabs [not active at launch]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AI voice services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Voice interaction content (no PHI in voice)</w:t>
            </w:r>
          </w:p>
        </w:tc>
      </w:tr>
    </w:tbl>
    <w:p>
      <w:pPr>
        <w:spacing w:before="200" w:after="4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1.2 Operational Subprocessors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These vendors may process Customer Data depending on access scope: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37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Vendor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Categories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Tekumo Pro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Installation services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Names, addresses, device assignments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TechRescue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Support/escalation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Support tickets, event details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T-Mobile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Connectivity/carrier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PII, telecom metadata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Stripe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Payment processing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Billing data, payment methods</w:t>
            </w:r>
          </w:p>
        </w:tc>
      </w:tr>
    </w:tbl>
    <w:p>
      <w:pPr>
        <w:spacing w:before="200" w:after="4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1.3 Conditional Subprocessor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following vendor becomes a Subprocessor only upon execution of the Monitoring Center Addendum (Exhibit G):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37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Vendor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Activation Condition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Clear Partners, LLC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UL-certified central station monitoring services (only when Exhibit G is executed and active)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Active only when Monitoring Center Addendum (Exhibit G) is executed</w:t>
            </w:r>
          </w:p>
        </w:tc>
      </w:tr>
    </w:tbl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2. THIRD-PARTY SERVICES AND INTEGRATIONS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following are third-party device and platform providers whose products are integrated with or enabled by Customer through the Services. These providers are not Subprocessors. Customer’s use of each Third-Party Service is governed by that provider’s own terms of service, privacy policy, and applicable agreements. RHC does not control these providers’ data practices.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37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Provider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Integration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Governed By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Apple (Watch / HealthKit)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Health metrics, movement, cardiac data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Apple Terms of Service; Apple Health privacy policy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HERO Health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Medication dispenser ecosystem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HERO Health Terms of Service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YoLink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Sensor and cloud integration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YoLink Terms of Service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Family1st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Driving monitoring (B2C only)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Family1st Terms of Service</w:t>
            </w:r>
          </w:p>
        </w:tc>
      </w:tr>
    </w:tbl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3. NON-SUBPROCESSORS (SELF-HOSTED SOFTWARE)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following are software tools deployed within RHC’s own infrastructure. They are not third-party data processors and do not transmit Customer Data to external parties: Apache Pulsar (message streaming), Terraform (infrastructure management), Go (programming language).</w:t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4. CHANGE NOTIFICATION PROCESS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RHC will provide at least thirty (30) days’ advance notice before adding a new Subprocessor that processes Customer Data. Customers may raise objections within thirty (30) days of notice. If an objection cannot be resolved through good-faith discussion, the affected Customer may terminate the portion of Services that requires the objected-to Subprocessor without penalty.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Changes to the Third-Party Services and Integrations list (Section 2) do not trigger the Subprocessor change notification process, as those providers are governed by their own terms.</w:t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5. BAA/DPA STATUS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RHC maintains Data Processing Agreements (DPAs) with Subprocessors and, where PHI is transmitted and a BAA is available, a Business Associate Agreement (BAA). RHC configures workflows to avoid transmitting PHI to vendors that do not offer BAAs. BAA/DPA status for each Subprocessor is maintained as an internal compliance record and is available for review during authorized audits.</w:t>
      </w:r>
    </w:p>
    <w:p>
      <w:pPr>
        <w:spacing w:before="40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[END OF SUBPROCESSOR LIST]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tabs>
        <w:tab w:val="right" w:pos="9360"/>
      </w:tabs>
    </w:pPr>
    <w:r>
      <w:rPr>
        <w:rFonts w:ascii="Arial" w:cs="Arial" w:eastAsia="Arial" w:hAnsi="Arial"/>
        <w:color w:val="666666"/>
        <w:sz w:val="14"/>
        <w:szCs w:val="14"/>
      </w:rPr>
      <w:t xml:space="preserve">Remote Home Check, LLC</w:t>
    </w:r>
    <w:r>
      <w:rPr>
        <w:rFonts w:ascii="Arial" w:cs="Arial" w:eastAsia="Arial" w:hAnsi="Arial"/>
        <w:color w:val="666666"/>
        <w:sz w:val="14"/>
        <w:szCs w:val="14"/>
      </w:rPr>
      <w:ptab w:alignment="right" w:relativeTo="margin" w:leader="none"/>
    </w:r>
    <w:r>
      <w:rPr>
        <w:rFonts w:ascii="Arial" w:cs="Arial" w:eastAsia="Arial" w:hAnsi="Arial"/>
        <w:color w:val="666666"/>
        <w:sz w:val="14"/>
        <w:szCs w:val="14"/>
      </w:rPr>
      <w:t xml:space="preserve">Page </w:t>
    </w:r>
    <w:r>
      <w:rPr>
        <w:rFonts w:ascii="Arial" w:cs="Arial" w:eastAsia="Arial" w:hAnsi="Arial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1"/>
      </w:pBdr>
    </w:pPr>
    <w:r>
      <w:rPr>
        <w:rFonts w:ascii="Arial" w:cs="Arial" w:eastAsia="Arial" w:hAnsi="Arial"/>
        <w:color w:val="666666"/>
        <w:sz w:val="16"/>
        <w:szCs w:val="16"/>
      </w:rPr>
      <w:t xml:space="preserve">RHC — Exhibit D: Subprocessor List v1.1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2026-02-28T04:01:15.095Z</dcterms:created>
  <dcterms:modified xsi:type="dcterms:W3CDTF">2026-02-28T04:01:15.096Z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