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200"/>
        <w:jc w:val="center"/>
      </w:pPr>
      <w:r>
        <w:rPr>
          <w:rFonts w:ascii="Arial" w:cs="Arial" w:eastAsia="Arial" w:hAnsi="Arial"/>
          <w:b/>
          <w:bCs/>
          <w:color w:val="2E75B6"/>
          <w:sz w:val="28"/>
          <w:szCs w:val="28"/>
        </w:rPr>
        <w:t xml:space="preserve">Exhibit C: Service Credit Schedule</w:t>
      </w:r>
    </w:p>
    <w:p>
      <w:pPr>
        <w:pBdr>
          <w:bottom w:val="single" w:color="2E75B6" w:sz="2" w:space="4"/>
        </w:pBdr>
        <w:spacing w:before="200" w:after="200"/>
      </w:pPr>
    </w:p>
    <w:p>
      <w:pPr>
        <w:pStyle w:val="Heading1"/>
        <w:spacing w:before="360" w:after="200"/>
      </w:pPr>
      <w:r>
        <w:rPr>
          <w:rFonts w:ascii="Arial" w:cs="Arial" w:eastAsia="Arial" w:hAnsi="Arial"/>
          <w:b/>
          <w:bCs/>
          <w:color w:val="1B3A5C"/>
          <w:sz w:val="28"/>
          <w:szCs w:val="28"/>
        </w:rPr>
        <w:t xml:space="preserve">1. APPLICABILITY</w:t>
      </w:r>
    </w:p>
    <w:p>
      <w:pPr>
        <w:spacing w:before="80" w:after="80"/>
        <w:jc w:val="left"/>
      </w:pPr>
      <w:r>
        <w:rPr>
          <w:rFonts w:ascii="Arial" w:cs="Arial" w:eastAsia="Arial" w:hAnsi="Arial"/>
          <w:b w:val="false"/>
          <w:bCs w:val="false"/>
          <w:i w:val="false"/>
          <w:iCs w:val="false"/>
          <w:color w:val="333333"/>
          <w:sz w:val="20"/>
          <w:szCs w:val="20"/>
        </w:rPr>
        <w:t xml:space="preserve">This Service Credit Schedule applies to organizational customers (B2B) with active Order Forms only. Consumer (B2C) subscribers and customers in pilot deployments are not eligible for service credits. Service credits are the sole and exclusive remedy for failure to meet the uptime commitment in Section 9.1 of the Master Terms.</w:t>
      </w:r>
    </w:p>
    <w:p>
      <w:pPr>
        <w:pStyle w:val="Heading1"/>
        <w:spacing w:before="360" w:after="200"/>
      </w:pPr>
      <w:r>
        <w:rPr>
          <w:rFonts w:ascii="Arial" w:cs="Arial" w:eastAsia="Arial" w:hAnsi="Arial"/>
          <w:b/>
          <w:bCs/>
          <w:color w:val="1B3A5C"/>
          <w:sz w:val="28"/>
          <w:szCs w:val="28"/>
        </w:rPr>
        <w:t xml:space="preserve">2. UPTIME TARGET</w:t>
      </w:r>
    </w:p>
    <w:p>
      <w:pPr>
        <w:spacing w:before="80" w:after="80"/>
        <w:jc w:val="left"/>
      </w:pPr>
      <w:r>
        <w:rPr>
          <w:rFonts w:ascii="Arial" w:cs="Arial" w:eastAsia="Arial" w:hAnsi="Arial"/>
          <w:b w:val="false"/>
          <w:bCs w:val="false"/>
          <w:i w:val="false"/>
          <w:iCs w:val="false"/>
          <w:color w:val="333333"/>
          <w:sz w:val="20"/>
          <w:szCs w:val="20"/>
        </w:rPr>
        <w:t xml:space="preserve">The production Services target is 99.0% monthly uptime, calculated as specified in Section 9.1 of the Master Terms.</w:t>
      </w:r>
    </w:p>
    <w:p>
      <w:pPr>
        <w:pStyle w:val="Heading1"/>
        <w:spacing w:before="360" w:after="200"/>
      </w:pPr>
      <w:r>
        <w:rPr>
          <w:rFonts w:ascii="Arial" w:cs="Arial" w:eastAsia="Arial" w:hAnsi="Arial"/>
          <w:b/>
          <w:bCs/>
          <w:color w:val="1B3A5C"/>
          <w:sz w:val="28"/>
          <w:szCs w:val="28"/>
        </w:rPr>
        <w:t xml:space="preserve">3. SERVICE CREDIT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20"/>
                <w:szCs w:val="20"/>
              </w:rPr>
              <w:t xml:space="preserve">Monthly Uptime Percentage</w:t>
            </w:r>
          </w:p>
        </w:tc>
        <w:tc>
          <w:tcPr>
            <w:tcW w:type="dxa" w:w="46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20"/>
                <w:szCs w:val="20"/>
              </w:rPr>
              <w:t xml:space="preserve">Service Credit (% of Monthly Fee)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99.0% or above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No credit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98.0% – 98.99%</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5% credit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95.0% – 97.99%</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10% credit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90.0% – 94.99%</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20% credit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Below 90.0%</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30% credit</w:t>
            </w:r>
          </w:p>
        </w:tc>
      </w:tr>
    </w:tbl>
    <w:p>
      <w:pPr>
        <w:pStyle w:val="Heading1"/>
        <w:spacing w:before="360" w:after="200"/>
      </w:pPr>
      <w:r>
        <w:rPr>
          <w:rFonts w:ascii="Arial" w:cs="Arial" w:eastAsia="Arial" w:hAnsi="Arial"/>
          <w:b/>
          <w:bCs/>
          <w:color w:val="1B3A5C"/>
          <w:sz w:val="28"/>
          <w:szCs w:val="28"/>
        </w:rPr>
        <w:t xml:space="preserve">4. CREDIT CAP</w:t>
      </w:r>
    </w:p>
    <w:p>
      <w:pPr>
        <w:spacing w:before="80" w:after="80"/>
        <w:jc w:val="left"/>
      </w:pPr>
      <w:r>
        <w:rPr>
          <w:rFonts w:ascii="Arial" w:cs="Arial" w:eastAsia="Arial" w:hAnsi="Arial"/>
          <w:b w:val="false"/>
          <w:bCs w:val="false"/>
          <w:i w:val="false"/>
          <w:iCs w:val="false"/>
          <w:color w:val="333333"/>
          <w:sz w:val="20"/>
          <w:szCs w:val="20"/>
        </w:rPr>
        <w:t xml:space="preserve">Total service credits in any calendar month shall not exceed thirty percent (30%) of the total monthly fees for the affected Services. Credits are non-transferable and have no cash value.</w:t>
      </w:r>
    </w:p>
    <w:p>
      <w:pPr>
        <w:pStyle w:val="Heading1"/>
        <w:spacing w:before="360" w:after="200"/>
      </w:pPr>
      <w:r>
        <w:rPr>
          <w:rFonts w:ascii="Arial" w:cs="Arial" w:eastAsia="Arial" w:hAnsi="Arial"/>
          <w:b/>
          <w:bCs/>
          <w:color w:val="1B3A5C"/>
          <w:sz w:val="28"/>
          <w:szCs w:val="28"/>
        </w:rPr>
        <w:t xml:space="preserve">5. CREDIT REQUEST PROCEDURE</w:t>
      </w:r>
    </w:p>
    <w:p>
      <w:pPr>
        <w:spacing w:before="80" w:after="80"/>
        <w:jc w:val="left"/>
      </w:pPr>
      <w:r>
        <w:rPr>
          <w:rFonts w:ascii="Arial" w:cs="Arial" w:eastAsia="Arial" w:hAnsi="Arial"/>
          <w:b w:val="false"/>
          <w:bCs w:val="false"/>
          <w:i w:val="false"/>
          <w:iCs w:val="false"/>
          <w:color w:val="333333"/>
          <w:sz w:val="20"/>
          <w:szCs w:val="20"/>
        </w:rPr>
        <w:t xml:space="preserve">To request a service credit, the Organization must submit a written request to support@remotehomecheck.com within thirty (30) days of the month in which the downtime occurred. The request must include: (a) the dates and times of the outage; (b) the affected Services; and (c) a description of the impact. RHC will verify the claimed downtime and issue approved credits against future invoices.</w:t>
      </w:r>
    </w:p>
    <w:p>
      <w:pPr>
        <w:pStyle w:val="Heading1"/>
        <w:spacing w:before="360" w:after="200"/>
      </w:pPr>
      <w:r>
        <w:rPr>
          <w:rFonts w:ascii="Arial" w:cs="Arial" w:eastAsia="Arial" w:hAnsi="Arial"/>
          <w:b/>
          <w:bCs/>
          <w:color w:val="1B3A5C"/>
          <w:sz w:val="28"/>
          <w:szCs w:val="28"/>
        </w:rPr>
        <w:t xml:space="preserve">6. EXCLUSIONS</w:t>
      </w:r>
    </w:p>
    <w:p>
      <w:pPr>
        <w:spacing w:before="80" w:after="80"/>
        <w:jc w:val="left"/>
      </w:pPr>
      <w:r>
        <w:rPr>
          <w:rFonts w:ascii="Arial" w:cs="Arial" w:eastAsia="Arial" w:hAnsi="Arial"/>
          <w:b w:val="false"/>
          <w:bCs w:val="false"/>
          <w:i w:val="false"/>
          <w:iCs w:val="false"/>
          <w:color w:val="333333"/>
          <w:sz w:val="20"/>
          <w:szCs w:val="20"/>
        </w:rPr>
        <w:t xml:space="preserve">Service credits do not apply to downtime caused by: (a) scheduled maintenance with prior notice; (b) force majeure events; (c) Customer misuse or misconfiguration; (d) Third-Party Service outages (Apple, YoLink, HERO Health, connectivity providers); (e) actions or inactions of the Customer or its users; or (f) pilot deployments.</w:t>
      </w:r>
    </w:p>
    <w:p>
      <w:pPr>
        <w:pBdr>
          <w:top w:val="single" w:color="2E75B6" w:sz="2" w:space="8"/>
        </w:pBdr>
        <w:spacing w:before="400" w:after="200"/>
        <w:jc w:val="center"/>
      </w:pPr>
      <w:r>
        <w:rPr>
          <w:rFonts w:ascii="Arial" w:cs="Arial" w:eastAsia="Arial" w:hAnsi="Arial"/>
          <w:b/>
          <w:bCs/>
          <w:color w:val="1B3A5C"/>
          <w:sz w:val="20"/>
          <w:szCs w:val="20"/>
        </w:rPr>
        <w:t xml:space="preserve">[END OF SERVICE CREDIT SCHEDULE]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Exhibit C: Service Credit Schedule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2026-02-28T02:51:20.522Z</dcterms:created>
  <dcterms:modified xsi:type="dcterms:W3CDTF">2026-02-28T02:51:20.522Z</dcterms:modified>
</cp:coreProperties>
</file>

<file path=docProps/custom.xml><?xml version="1.0" encoding="utf-8"?>
<Properties xmlns="http://schemas.openxmlformats.org/officeDocument/2006/custom-properties" xmlns:vt="http://schemas.openxmlformats.org/officeDocument/2006/docPropsVTypes"/>
</file>