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B: Hardware &amp; Installation Addendum</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EQUIPMENT LOAN MODEL</w:t>
      </w:r>
    </w:p>
    <w:p>
      <w:pPr>
        <w:spacing w:before="80" w:after="80"/>
        <w:jc w:val="left"/>
      </w:pPr>
      <w:r>
        <w:rPr>
          <w:rFonts w:ascii="Arial" w:cs="Arial" w:eastAsia="Arial" w:hAnsi="Arial"/>
          <w:b w:val="false"/>
          <w:bCs w:val="false"/>
          <w:i w:val="false"/>
          <w:iCs w:val="false"/>
          <w:color w:val="333333"/>
          <w:sz w:val="20"/>
          <w:szCs w:val="20"/>
        </w:rPr>
        <w:t xml:space="preserve">All hardware provided by RHC in connection with the Services is loaned to the Customer as part of the subscription bundle. RHC retains title and ownership of all equipment at all times. The Customer receives a non-exclusive, non-transferable, revocable license to use the equipment solely in connection with the Services during the active subscription period.</w:t>
      </w:r>
    </w:p>
    <w:p>
      <w:pPr>
        <w:pStyle w:val="Heading1"/>
        <w:spacing w:before="360" w:after="200"/>
      </w:pPr>
      <w:r>
        <w:rPr>
          <w:rFonts w:ascii="Arial" w:cs="Arial" w:eastAsia="Arial" w:hAnsi="Arial"/>
          <w:b/>
          <w:bCs/>
          <w:color w:val="1B3A5C"/>
          <w:sz w:val="28"/>
          <w:szCs w:val="28"/>
        </w:rPr>
        <w:t xml:space="preserve">2. INCLUDED HARDWARE</w:t>
      </w:r>
    </w:p>
    <w:p>
      <w:pPr>
        <w:pStyle w:val="Heading2"/>
        <w:spacing w:before="280" w:after="160"/>
      </w:pPr>
      <w:r>
        <w:rPr>
          <w:rFonts w:ascii="Arial" w:cs="Arial" w:eastAsia="Arial" w:hAnsi="Arial"/>
          <w:b/>
          <w:bCs/>
          <w:color w:val="1B3A5C"/>
          <w:sz w:val="24"/>
          <w:szCs w:val="24"/>
        </w:rPr>
        <w:t xml:space="preserve">2.1 B2C Bundle (Self-Pay Family)</w:t>
      </w:r>
    </w:p>
    <w:p>
      <w:pPr>
        <w:pStyle w:val="ListParagraph"/>
        <w:numPr>
          <w:ilvl w:val="0"/>
          <w:numId w:val="2"/>
        </w:numPr>
        <w:spacing w:before="40" w:after="40"/>
      </w:pPr>
      <w:r>
        <w:rPr>
          <w:rFonts w:ascii="Arial" w:cs="Arial" w:eastAsia="Arial" w:hAnsi="Arial"/>
          <w:b w:val="false"/>
          <w:bCs w:val="false"/>
          <w:color w:val="333333"/>
          <w:sz w:val="20"/>
          <w:szCs w:val="20"/>
        </w:rPr>
        <w:t xml:space="preserve">Apple Watch SE (or equivalent current model)</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Toilet Sensor + Hub</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Motion Sensor</w:t>
      </w:r>
    </w:p>
    <w:p>
      <w:pPr>
        <w:pStyle w:val="ListParagraph"/>
        <w:numPr>
          <w:ilvl w:val="0"/>
          <w:numId w:val="2"/>
        </w:numPr>
        <w:spacing w:before="40" w:after="40"/>
      </w:pPr>
      <w:r>
        <w:rPr>
          <w:rFonts w:ascii="Arial" w:cs="Arial" w:eastAsia="Arial" w:hAnsi="Arial"/>
          <w:b w:val="false"/>
          <w:bCs w:val="false"/>
          <w:color w:val="333333"/>
          <w:sz w:val="20"/>
          <w:szCs w:val="20"/>
        </w:rPr>
        <w:t xml:space="preserve">Family1st OBD-II Driving Monitor</w:t>
      </w:r>
    </w:p>
    <w:p>
      <w:pPr>
        <w:pStyle w:val="Heading2"/>
        <w:spacing w:before="280" w:after="160"/>
      </w:pPr>
      <w:r>
        <w:rPr>
          <w:rFonts w:ascii="Arial" w:cs="Arial" w:eastAsia="Arial" w:hAnsi="Arial"/>
          <w:b/>
          <w:bCs/>
          <w:color w:val="1B3A5C"/>
          <w:sz w:val="24"/>
          <w:szCs w:val="24"/>
        </w:rPr>
        <w:t xml:space="preserve">2.2 B2B / PACE Bundle</w:t>
      </w:r>
    </w:p>
    <w:p>
      <w:pPr>
        <w:pStyle w:val="ListParagraph"/>
        <w:numPr>
          <w:ilvl w:val="0"/>
          <w:numId w:val="2"/>
        </w:numPr>
        <w:spacing w:before="40" w:after="40"/>
      </w:pPr>
      <w:r>
        <w:rPr>
          <w:rFonts w:ascii="Arial" w:cs="Arial" w:eastAsia="Arial" w:hAnsi="Arial"/>
          <w:b w:val="false"/>
          <w:bCs w:val="false"/>
          <w:color w:val="333333"/>
          <w:sz w:val="20"/>
          <w:szCs w:val="20"/>
        </w:rPr>
        <w:t xml:space="preserve">Apple Watch SE (or equivalent current model)</w:t>
      </w:r>
    </w:p>
    <w:p>
      <w:pPr>
        <w:pStyle w:val="ListParagraph"/>
        <w:numPr>
          <w:ilvl w:val="0"/>
          <w:numId w:val="2"/>
        </w:numPr>
        <w:spacing w:before="40" w:after="40"/>
      </w:pPr>
      <w:r>
        <w:rPr>
          <w:rFonts w:ascii="Arial" w:cs="Arial" w:eastAsia="Arial" w:hAnsi="Arial"/>
          <w:b w:val="false"/>
          <w:bCs w:val="false"/>
          <w:color w:val="333333"/>
          <w:sz w:val="20"/>
          <w:szCs w:val="20"/>
        </w:rPr>
        <w:t xml:space="preserve">HERO Pill Dispenser</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Toilet Sensor + Hub</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Motion Sensor</w:t>
      </w:r>
    </w:p>
    <w:p>
      <w:pPr>
        <w:spacing w:before="80" w:after="80"/>
        <w:jc w:val="left"/>
      </w:pPr>
      <w:r>
        <w:rPr>
          <w:rFonts w:ascii="Arial" w:cs="Arial" w:eastAsia="Arial" w:hAnsi="Arial"/>
          <w:b w:val="false"/>
          <w:bCs w:val="false"/>
          <w:i w:val="false"/>
          <w:iCs w:val="false"/>
          <w:color w:val="333333"/>
          <w:sz w:val="20"/>
          <w:szCs w:val="20"/>
        </w:rPr>
        <w:t xml:space="preserve">Additional or upgraded hardware may be available as specified in the applicable Order Form.</w:t>
      </w:r>
    </w:p>
    <w:p>
      <w:pPr>
        <w:pStyle w:val="Heading1"/>
        <w:spacing w:before="360" w:after="200"/>
      </w:pPr>
      <w:r>
        <w:rPr>
          <w:rFonts w:ascii="Arial" w:cs="Arial" w:eastAsia="Arial" w:hAnsi="Arial"/>
          <w:b/>
          <w:bCs/>
          <w:color w:val="1B3A5C"/>
          <w:sz w:val="28"/>
          <w:szCs w:val="28"/>
        </w:rPr>
        <w:t xml:space="preserve">3. INSTALLATION</w:t>
      </w:r>
    </w:p>
    <w:p>
      <w:pPr>
        <w:pStyle w:val="Heading2"/>
        <w:spacing w:before="280" w:after="160"/>
      </w:pPr>
      <w:r>
        <w:rPr>
          <w:rFonts w:ascii="Arial" w:cs="Arial" w:eastAsia="Arial" w:hAnsi="Arial"/>
          <w:b/>
          <w:bCs/>
          <w:color w:val="1B3A5C"/>
          <w:sz w:val="24"/>
          <w:szCs w:val="24"/>
        </w:rPr>
        <w:t xml:space="preserve">3.1 Professional Installation</w:t>
      </w:r>
    </w:p>
    <w:p>
      <w:pPr>
        <w:spacing w:before="80" w:after="80"/>
        <w:jc w:val="left"/>
      </w:pPr>
      <w:r>
        <w:rPr>
          <w:rFonts w:ascii="Arial" w:cs="Arial" w:eastAsia="Arial" w:hAnsi="Arial"/>
          <w:b w:val="false"/>
          <w:bCs w:val="false"/>
          <w:i w:val="false"/>
          <w:iCs w:val="false"/>
          <w:color w:val="333333"/>
          <w:sz w:val="20"/>
          <w:szCs w:val="20"/>
        </w:rPr>
        <w:t xml:space="preserve">Installation is performed by RHC-authorized personnel, including Tekumo Pro installation partners. Installation includes: device setup, Wi-Fi connectivity verification, sensor placement, initial calibration, and basic training for the primary contact.</w:t>
      </w:r>
    </w:p>
    <w:p>
      <w:pPr>
        <w:pStyle w:val="Heading2"/>
        <w:spacing w:before="280" w:after="160"/>
      </w:pPr>
      <w:r>
        <w:rPr>
          <w:rFonts w:ascii="Arial" w:cs="Arial" w:eastAsia="Arial" w:hAnsi="Arial"/>
          <w:b/>
          <w:bCs/>
          <w:color w:val="1B3A5C"/>
          <w:sz w:val="24"/>
          <w:szCs w:val="24"/>
        </w:rPr>
        <w:t xml:space="preserve">3.2 Self-Installation</w:t>
      </w:r>
    </w:p>
    <w:p>
      <w:pPr>
        <w:spacing w:before="80" w:after="80"/>
        <w:jc w:val="left"/>
      </w:pPr>
      <w:r>
        <w:rPr>
          <w:rFonts w:ascii="Arial" w:cs="Arial" w:eastAsia="Arial" w:hAnsi="Arial"/>
          <w:b w:val="false"/>
          <w:bCs w:val="false"/>
          <w:i w:val="false"/>
          <w:iCs w:val="false"/>
          <w:color w:val="333333"/>
          <w:sz w:val="20"/>
          <w:szCs w:val="20"/>
        </w:rPr>
        <w:t xml:space="preserve">Where applicable, RHC may provide self-installation instructions. The Customer is responsible for following instructions and notifying RHC of any installation issues.</w:t>
      </w:r>
    </w:p>
    <w:p>
      <w:pPr>
        <w:pStyle w:val="Heading2"/>
        <w:spacing w:before="280" w:after="160"/>
      </w:pPr>
      <w:r>
        <w:rPr>
          <w:rFonts w:ascii="Arial" w:cs="Arial" w:eastAsia="Arial" w:hAnsi="Arial"/>
          <w:b/>
          <w:bCs/>
          <w:color w:val="1B3A5C"/>
          <w:sz w:val="24"/>
          <w:szCs w:val="24"/>
        </w:rPr>
        <w:t xml:space="preserve">3.3 Site Requirements</w:t>
      </w:r>
    </w:p>
    <w:p>
      <w:pPr>
        <w:spacing w:before="80" w:after="80"/>
        <w:jc w:val="left"/>
      </w:pPr>
      <w:r>
        <w:rPr>
          <w:rFonts w:ascii="Arial" w:cs="Arial" w:eastAsia="Arial" w:hAnsi="Arial"/>
          <w:b w:val="false"/>
          <w:bCs w:val="false"/>
          <w:i w:val="false"/>
          <w:iCs w:val="false"/>
          <w:color w:val="333333"/>
          <w:sz w:val="20"/>
          <w:szCs w:val="20"/>
        </w:rPr>
        <w:t xml:space="preserve">The Customer (or Organization) is responsible for: (a) providing a functioning internet connection (Wi-Fi); (b) maintaining adequate power supply; (c) providing reasonable access to the installation site; and (d) ensuring the installation environment meets the specifications provided by RHC.</w:t>
      </w:r>
    </w:p>
    <w:p>
      <w:pPr>
        <w:pStyle w:val="Heading1"/>
        <w:spacing w:before="360" w:after="200"/>
      </w:pPr>
      <w:r>
        <w:rPr>
          <w:rFonts w:ascii="Arial" w:cs="Arial" w:eastAsia="Arial" w:hAnsi="Arial"/>
          <w:b/>
          <w:bCs/>
          <w:color w:val="1B3A5C"/>
          <w:sz w:val="28"/>
          <w:szCs w:val="28"/>
        </w:rPr>
        <w:t xml:space="preserve">4. CARE AND USE</w:t>
      </w:r>
    </w:p>
    <w:p>
      <w:pPr>
        <w:spacing w:before="80" w:after="80"/>
        <w:jc w:val="left"/>
      </w:pPr>
      <w:r>
        <w:rPr>
          <w:rFonts w:ascii="Arial" w:cs="Arial" w:eastAsia="Arial" w:hAnsi="Arial"/>
          <w:b w:val="false"/>
          <w:bCs w:val="false"/>
          <w:i w:val="false"/>
          <w:iCs w:val="false"/>
          <w:color w:val="333333"/>
          <w:sz w:val="20"/>
          <w:szCs w:val="20"/>
        </w:rPr>
        <w:t xml:space="preserve">The Customer shall: (a) use the equipment only for its intended purpose in connection with the Services; (b) not modify, disassemble, or repair the equipment; (c) not remove any labels or markings; (d) notify RHC promptly of any malfunction, damage, or loss; and (e) keep the equipment in a safe and appropriate environment.</w:t>
      </w:r>
    </w:p>
    <w:p>
      <w:pPr>
        <w:pStyle w:val="Heading1"/>
        <w:spacing w:before="360" w:after="200"/>
      </w:pPr>
      <w:r>
        <w:rPr>
          <w:rFonts w:ascii="Arial" w:cs="Arial" w:eastAsia="Arial" w:hAnsi="Arial"/>
          <w:b/>
          <w:bCs/>
          <w:color w:val="1B3A5C"/>
          <w:sz w:val="28"/>
          <w:szCs w:val="28"/>
        </w:rPr>
        <w:t xml:space="preserve">5. REPLACEMENT COST SCHEDULE</w:t>
      </w:r>
    </w:p>
    <w:p>
      <w:pPr>
        <w:spacing w:before="80" w:after="80"/>
        <w:jc w:val="left"/>
      </w:pPr>
      <w:r>
        <w:rPr>
          <w:rFonts w:ascii="Arial" w:cs="Arial" w:eastAsia="Arial" w:hAnsi="Arial"/>
          <w:b w:val="false"/>
          <w:bCs w:val="false"/>
          <w:i w:val="false"/>
          <w:iCs w:val="false"/>
          <w:color w:val="333333"/>
          <w:sz w:val="20"/>
          <w:szCs w:val="20"/>
        </w:rPr>
        <w:t xml:space="preserve">The following replacement costs are based on RHC’s invoice-backed procurement costs and are subject to change with thirty (30) days’ notice: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680"/>
        <w:gridCol w:w="2680"/>
      </w:tblGrid>
      <w:tr>
        <w:tc>
          <w:tcPr>
            <w:tcW w:type="dxa" w:w="40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20"/>
                <w:szCs w:val="20"/>
              </w:rPr>
              <w:t xml:space="preserve">Component</w:t>
            </w:r>
          </w:p>
        </w:tc>
        <w:tc>
          <w:tcPr>
            <w:tcW w:type="dxa" w:w="26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20"/>
                <w:szCs w:val="20"/>
              </w:rPr>
              <w:t xml:space="preserve">B2C Cost</w:t>
            </w:r>
          </w:p>
        </w:tc>
        <w:tc>
          <w:tcPr>
            <w:tcW w:type="dxa" w:w="26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20"/>
                <w:szCs w:val="20"/>
              </w:rPr>
              <w:t xml:space="preserve">B2B/PACE Cost</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Apple Watch SE</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$399.00</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$399.00</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YoLink Toilet Sensor + Hub</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$109.00</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$109.00</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YoLink Motion Sensor</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$23.00</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$23.00</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Family1st OBD-II Monitor</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$35.00</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N/A</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HERO Pill Dispenser</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N/A</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$299.00</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Per-Shipment Handling Fee</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$50.00</w:t>
            </w:r>
          </w:p>
        </w:tc>
        <w:tc>
          <w:tcPr>
            <w:tcW w:type="dxa" w:w="2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$50.00</w:t>
            </w:r>
          </w:p>
        </w:tc>
      </w:tr>
    </w:tbl>
    <w:p>
      <w:pPr>
        <w:spacing w:before="160" w:after="80"/>
        <w:jc w:val="left"/>
      </w:pPr>
      <w:r>
        <w:rPr>
          <w:rFonts w:ascii="Arial" w:cs="Arial" w:eastAsia="Arial" w:hAnsi="Arial"/>
          <w:b w:val="false"/>
          <w:bCs w:val="false"/>
          <w:i w:val="false"/>
          <w:iCs w:val="false"/>
          <w:color w:val="333333"/>
          <w:sz w:val="20"/>
          <w:szCs w:val="20"/>
        </w:rPr>
        <w:t xml:space="preserve">Replacement cost = invoice-backed procurement cost at time of loss + $50.00 per shipment handling fee. Replacement costs reflect invoice-backed procurement pricing and may change based on supplier pricing with thirty (30) days’ notice to the Customer.</w:t>
      </w:r>
    </w:p>
    <w:p>
      <w:pPr>
        <w:pStyle w:val="Heading1"/>
        <w:spacing w:before="360" w:after="200"/>
      </w:pPr>
      <w:r>
        <w:rPr>
          <w:rFonts w:ascii="Arial" w:cs="Arial" w:eastAsia="Arial" w:hAnsi="Arial"/>
          <w:b/>
          <w:bCs/>
          <w:color w:val="1B3A5C"/>
          <w:sz w:val="28"/>
          <w:szCs w:val="28"/>
        </w:rPr>
        <w:t xml:space="preserve">6. RETURNS</w:t>
      </w:r>
    </w:p>
    <w:p>
      <w:pPr>
        <w:pStyle w:val="Heading2"/>
        <w:spacing w:before="280" w:after="160"/>
      </w:pPr>
      <w:r>
        <w:rPr>
          <w:rFonts w:ascii="Arial" w:cs="Arial" w:eastAsia="Arial" w:hAnsi="Arial"/>
          <w:b/>
          <w:bCs/>
          <w:color w:val="1B3A5C"/>
          <w:sz w:val="24"/>
          <w:szCs w:val="24"/>
        </w:rPr>
        <w:t xml:space="preserve">6.1 Return Timeline</w:t>
      </w:r>
    </w:p>
    <w:p>
      <w:pPr>
        <w:spacing w:before="80" w:after="80"/>
        <w:jc w:val="left"/>
      </w:pPr>
      <w:r>
        <w:rPr>
          <w:rFonts w:ascii="Arial" w:cs="Arial" w:eastAsia="Arial" w:hAnsi="Arial"/>
          <w:b w:val="false"/>
          <w:bCs w:val="false"/>
          <w:i w:val="false"/>
          <w:iCs w:val="false"/>
          <w:color w:val="333333"/>
          <w:sz w:val="20"/>
          <w:szCs w:val="20"/>
        </w:rPr>
        <w:t xml:space="preserve">Upon termination or expiration of the subscription, the Customer must return all RHC-provided hardware within the applicable return period: (a) B2C Customers: fifteen (15) calendar days; (b) B2B/Organizational Customers: thirty (30) calendar days, or as specified in the applicable Order Form. RHC will provide return shipping instructions and prepaid shipping labels where applicable.</w:t>
      </w:r>
    </w:p>
    <w:p>
      <w:pPr>
        <w:pStyle w:val="Heading2"/>
        <w:spacing w:before="280" w:after="160"/>
      </w:pPr>
      <w:r>
        <w:rPr>
          <w:rFonts w:ascii="Arial" w:cs="Arial" w:eastAsia="Arial" w:hAnsi="Arial"/>
          <w:b/>
          <w:bCs/>
          <w:color w:val="1B3A5C"/>
          <w:sz w:val="24"/>
          <w:szCs w:val="24"/>
        </w:rPr>
        <w:t xml:space="preserve">6.2 Non-Return Fees</w:t>
      </w:r>
    </w:p>
    <w:p>
      <w:pPr>
        <w:spacing w:before="80" w:after="80"/>
        <w:jc w:val="left"/>
      </w:pPr>
      <w:r>
        <w:rPr>
          <w:rFonts w:ascii="Arial" w:cs="Arial" w:eastAsia="Arial" w:hAnsi="Arial"/>
          <w:b w:val="false"/>
          <w:bCs w:val="false"/>
          <w:i w:val="false"/>
          <w:iCs w:val="false"/>
          <w:color w:val="333333"/>
          <w:sz w:val="20"/>
          <w:szCs w:val="20"/>
        </w:rPr>
        <w:t xml:space="preserve">Hardware not returned within the applicable return period specified in Section 6.1 will be charged at the replacement cost specified in Section 5, plus the handling fee.</w:t>
      </w:r>
    </w:p>
    <w:p>
      <w:pPr>
        <w:pStyle w:val="Heading2"/>
        <w:spacing w:before="280" w:after="160"/>
      </w:pPr>
      <w:r>
        <w:rPr>
          <w:rFonts w:ascii="Arial" w:cs="Arial" w:eastAsia="Arial" w:hAnsi="Arial"/>
          <w:b/>
          <w:bCs/>
          <w:color w:val="1B3A5C"/>
          <w:sz w:val="24"/>
          <w:szCs w:val="24"/>
        </w:rPr>
        <w:t xml:space="preserve">6.3 Damaged Equipment</w:t>
      </w:r>
    </w:p>
    <w:p>
      <w:pPr>
        <w:spacing w:before="80" w:after="80"/>
        <w:jc w:val="left"/>
      </w:pPr>
      <w:r>
        <w:rPr>
          <w:rFonts w:ascii="Arial" w:cs="Arial" w:eastAsia="Arial" w:hAnsi="Arial"/>
          <w:b w:val="false"/>
          <w:bCs w:val="false"/>
          <w:i w:val="false"/>
          <w:iCs w:val="false"/>
          <w:color w:val="333333"/>
          <w:sz w:val="20"/>
          <w:szCs w:val="20"/>
        </w:rPr>
        <w:t xml:space="preserve">Equipment returned in damaged condition (beyond normal wear and tear) may be subject to replacement cost charges at RHC’s reasonable determination.</w:t>
      </w:r>
    </w:p>
    <w:p>
      <w:pPr>
        <w:pStyle w:val="Heading1"/>
        <w:spacing w:before="360" w:after="200"/>
      </w:pPr>
      <w:r>
        <w:rPr>
          <w:rFonts w:ascii="Arial" w:cs="Arial" w:eastAsia="Arial" w:hAnsi="Arial"/>
          <w:b/>
          <w:bCs/>
          <w:color w:val="1B3A5C"/>
          <w:sz w:val="28"/>
          <w:szCs w:val="28"/>
        </w:rPr>
        <w:t xml:space="preserve">7. SANITATION AND DATA WIPE</w:t>
      </w:r>
    </w:p>
    <w:p>
      <w:pPr>
        <w:spacing w:before="80" w:after="80"/>
        <w:jc w:val="left"/>
      </w:pPr>
      <w:r>
        <w:rPr>
          <w:rFonts w:ascii="Arial" w:cs="Arial" w:eastAsia="Arial" w:hAnsi="Arial"/>
          <w:b w:val="false"/>
          <w:bCs w:val="false"/>
          <w:i w:val="false"/>
          <w:iCs w:val="false"/>
          <w:color w:val="333333"/>
          <w:sz w:val="20"/>
          <w:szCs w:val="20"/>
        </w:rPr>
        <w:t xml:space="preserve">All returned hardware is subjected to RHC’s sanitation and data wipe protocol before redeployment, including: (a) factory reset of all devices; (b) removal of all user data and credentials; (c) physical cleaning and inspection; and (d) chain-of-custody documentation.</w:t>
      </w:r>
    </w:p>
    <w:p>
      <w:pPr>
        <w:pStyle w:val="Heading1"/>
        <w:spacing w:before="360" w:after="200"/>
      </w:pPr>
      <w:r>
        <w:rPr>
          <w:rFonts w:ascii="Arial" w:cs="Arial" w:eastAsia="Arial" w:hAnsi="Arial"/>
          <w:b/>
          <w:bCs/>
          <w:color w:val="1B3A5C"/>
          <w:sz w:val="28"/>
          <w:szCs w:val="28"/>
        </w:rPr>
        <w:t xml:space="preserve">8. THIRD-PARTY PLATFORM DEPENDENCY</w:t>
      </w:r>
    </w:p>
    <w:p>
      <w:pPr>
        <w:spacing w:before="80" w:after="80"/>
        <w:jc w:val="left"/>
      </w:pPr>
      <w:r>
        <w:rPr>
          <w:rFonts w:ascii="Arial" w:cs="Arial" w:eastAsia="Arial" w:hAnsi="Arial"/>
          <w:b/>
          <w:bCs/>
          <w:i w:val="false"/>
          <w:iCs w:val="false"/>
          <w:color w:val="333333"/>
          <w:sz w:val="20"/>
          <w:szCs w:val="20"/>
        </w:rPr>
        <w:t xml:space="preserve">THE HARDWARE AND SERVICES DEPEND ON THIRD-PARTY DEVICE PLATFORMS (APPLE, HERO HEALTH, YOLINK, FAMILY1ST, AND T-MOBILE CONNECTIVITY) THAT ARE OUTSIDE RHC’S CONTROL. CHANGES TO THIRD-PARTY APIS, FIRMWARE, CLOUD PLATFORMS, TELECOM INFRASTRUCTURE, OR VENDOR END-OF-LIFE DECISIONS SHALL NOT CONSTITUTE A BREACH BY RHC. RHC WILL USE COMMERCIALLY REASONABLE EFFORTS TO MAINTAIN OR SUBSTITUTE INTEGRATIONS AFFECTED BY SUCH CHANGES.</w:t>
      </w:r>
    </w:p>
    <w:p>
      <w:pPr>
        <w:pBdr>
          <w:top w:val="single" w:color="2E75B6" w:sz="2" w:space="8"/>
        </w:pBdr>
        <w:spacing w:before="400" w:after="200"/>
        <w:jc w:val="center"/>
      </w:pPr>
      <w:r>
        <w:rPr>
          <w:rFonts w:ascii="Arial" w:cs="Arial" w:eastAsia="Arial" w:hAnsi="Arial"/>
          <w:b/>
          <w:bCs/>
          <w:color w:val="1B3A5C"/>
          <w:sz w:val="20"/>
          <w:szCs w:val="20"/>
        </w:rPr>
        <w:t xml:space="preserve">[END OF HARDWARE &amp; INSTALLATION ADDENDUM]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B: Hardware &amp; Installation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2026-02-28T02:51:20.495Z</dcterms:created>
  <dcterms:modified xsi:type="dcterms:W3CDTF">2026-02-28T02:51:20.495Z</dcterms:modified>
</cp:coreProperties>
</file>

<file path=docProps/custom.xml><?xml version="1.0" encoding="utf-8"?>
<Properties xmlns="http://schemas.openxmlformats.org/officeDocument/2006/custom-properties" xmlns:vt="http://schemas.openxmlformats.org/officeDocument/2006/docPropsVTypes"/>
</file>